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海南省装配式建筑施工质量监督要点</w:t>
      </w:r>
    </w:p>
    <w:p>
      <w:pPr>
        <w:spacing w:line="620" w:lineRule="exact"/>
        <w:jc w:val="center"/>
        <w:rPr>
          <w:rFonts w:ascii="宋体" w:hAnsi="宋体"/>
          <w:b/>
          <w:bCs/>
          <w:color w:val="000000" w:themeColor="text1"/>
          <w:sz w:val="48"/>
          <w:szCs w:val="48"/>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1</w:t>
      </w:r>
      <w:r>
        <w:rPr>
          <w:rFonts w:ascii="仿宋" w:hAnsi="仿宋" w:eastAsia="仿宋" w:cs="宋体"/>
          <w:b/>
          <w:bCs/>
          <w:color w:val="000000" w:themeColor="text1"/>
          <w:kern w:val="0"/>
          <w:sz w:val="32"/>
          <w:szCs w:val="32"/>
          <w14:textFill>
            <w14:solidFill>
              <w14:schemeClr w14:val="tx1"/>
            </w14:solidFill>
          </w14:textFill>
        </w:rPr>
        <w:t xml:space="preserve"> </w:t>
      </w:r>
      <w:r>
        <w:rPr>
          <w:rFonts w:hint="eastAsia" w:ascii="仿宋" w:hAnsi="仿宋" w:eastAsia="仿宋" w:cs="宋体"/>
          <w:b/>
          <w:bCs/>
          <w:color w:val="000000" w:themeColor="text1"/>
          <w:kern w:val="0"/>
          <w:sz w:val="32"/>
          <w:szCs w:val="32"/>
          <w14:textFill>
            <w14:solidFill>
              <w14:schemeClr w14:val="tx1"/>
            </w14:solidFill>
          </w14:textFill>
        </w:rPr>
        <w:t>总 则</w:t>
      </w:r>
    </w:p>
    <w:p>
      <w:pPr>
        <w:spacing w:line="62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w:t>
      </w:r>
      <w:r>
        <w:rPr>
          <w:rFonts w:ascii="仿宋" w:hAnsi="仿宋" w:eastAsia="仿宋" w:cs="宋体"/>
          <w:color w:val="000000" w:themeColor="text1"/>
          <w:kern w:val="0"/>
          <w:sz w:val="32"/>
          <w:szCs w:val="32"/>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为推进我省装配式建筑健康发展，规范和指导我省装配式建筑施工质量监管，根据《中华人民共和国建筑法》《建设工程质量管理条例》《混凝土结构工程施工质量验收规范</w:t>
      </w:r>
      <w:bookmarkStart w:id="2" w:name="_GoBack"/>
      <w:bookmarkEnd w:id="2"/>
      <w:r>
        <w:rPr>
          <w:rFonts w:hint="eastAsia" w:ascii="仿宋" w:hAnsi="仿宋" w:eastAsia="仿宋" w:cs="宋体"/>
          <w:color w:val="000000" w:themeColor="text1"/>
          <w:kern w:val="0"/>
          <w:sz w:val="32"/>
          <w:szCs w:val="32"/>
          <w14:textFill>
            <w14:solidFill>
              <w14:schemeClr w14:val="tx1"/>
            </w14:solidFill>
          </w14:textFill>
        </w:rPr>
        <w:t>》（</w:t>
      </w:r>
      <w:r>
        <w:rPr>
          <w:rFonts w:ascii="仿宋" w:hAnsi="仿宋" w:eastAsia="仿宋" w:cs="宋体"/>
          <w:color w:val="000000" w:themeColor="text1"/>
          <w:kern w:val="0"/>
          <w:sz w:val="32"/>
          <w:szCs w:val="32"/>
          <w14:textFill>
            <w14:solidFill>
              <w14:schemeClr w14:val="tx1"/>
            </w14:solidFill>
          </w14:textFill>
        </w:rPr>
        <w:t>GB50204-2015</w:t>
      </w:r>
      <w:r>
        <w:rPr>
          <w:rFonts w:hint="eastAsia" w:ascii="仿宋" w:hAnsi="仿宋" w:eastAsia="仿宋" w:cs="宋体"/>
          <w:color w:val="000000" w:themeColor="text1"/>
          <w:kern w:val="0"/>
          <w:sz w:val="32"/>
          <w:szCs w:val="32"/>
          <w14:textFill>
            <w14:solidFill>
              <w14:schemeClr w14:val="tx1"/>
            </w14:solidFill>
          </w14:textFill>
        </w:rPr>
        <w:t>）《装配式建筑评价标准》（</w:t>
      </w:r>
      <w:r>
        <w:rPr>
          <w:rFonts w:ascii="仿宋" w:hAnsi="仿宋" w:eastAsia="仿宋" w:cs="宋体"/>
          <w:color w:val="000000" w:themeColor="text1"/>
          <w:kern w:val="0"/>
          <w:sz w:val="32"/>
          <w:szCs w:val="32"/>
          <w14:textFill>
            <w14:solidFill>
              <w14:schemeClr w14:val="tx1"/>
            </w14:solidFill>
          </w14:textFill>
        </w:rPr>
        <w:t>GB/T51129-2017</w:t>
      </w:r>
      <w:r>
        <w:rPr>
          <w:rFonts w:hint="eastAsia" w:ascii="仿宋" w:hAnsi="仿宋" w:eastAsia="仿宋" w:cs="宋体"/>
          <w:color w:val="000000" w:themeColor="text1"/>
          <w:kern w:val="0"/>
          <w:sz w:val="32"/>
          <w:szCs w:val="32"/>
          <w14:textFill>
            <w14:solidFill>
              <w14:schemeClr w14:val="tx1"/>
            </w14:solidFill>
          </w14:textFill>
        </w:rPr>
        <w:t>）《海南省装配式混凝土结构工程施工质量验收标准》（</w:t>
      </w:r>
      <w:r>
        <w:rPr>
          <w:rFonts w:ascii="仿宋" w:hAnsi="仿宋" w:eastAsia="仿宋" w:cs="宋体"/>
          <w:color w:val="000000" w:themeColor="text1"/>
          <w:kern w:val="0"/>
          <w:sz w:val="32"/>
          <w:szCs w:val="32"/>
          <w14:textFill>
            <w14:solidFill>
              <w14:schemeClr w14:val="tx1"/>
            </w14:solidFill>
          </w14:textFill>
        </w:rPr>
        <w:t>DJB46-047-2018</w:t>
      </w:r>
      <w:r>
        <w:rPr>
          <w:rFonts w:hint="eastAsia" w:ascii="仿宋" w:hAnsi="仿宋" w:eastAsia="仿宋" w:cs="宋体"/>
          <w:color w:val="000000" w:themeColor="text1"/>
          <w:kern w:val="0"/>
          <w:sz w:val="32"/>
          <w:szCs w:val="32"/>
          <w14:textFill>
            <w14:solidFill>
              <w14:schemeClr w14:val="tx1"/>
            </w14:solidFill>
          </w14:textFill>
        </w:rPr>
        <w:t>）等法律法规和标准要求，结合我省实际，制定本要点。</w:t>
      </w:r>
    </w:p>
    <w:p>
      <w:pPr>
        <w:spacing w:line="620" w:lineRule="exact"/>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w:t>
      </w: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Arial"/>
          <w:color w:val="000000" w:themeColor="text1"/>
          <w:sz w:val="32"/>
          <w:szCs w:val="32"/>
          <w:shd w:val="clear" w:color="auto" w:fill="FFFFFF"/>
          <w14:textFill>
            <w14:solidFill>
              <w14:schemeClr w14:val="tx1"/>
            </w14:solidFill>
          </w14:textFill>
        </w:rPr>
        <w:t>本要点所称装配式建筑，是指主体结构全部或部分采用预制混凝土构件或钢结构构件装配而成的钢筋混凝土房屋建筑工程或钢结构房屋建筑工程。</w:t>
      </w:r>
    </w:p>
    <w:p>
      <w:pPr>
        <w:spacing w:line="620" w:lineRule="exact"/>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r>
        <w:rPr>
          <w:rFonts w:hint="eastAsia" w:ascii="仿宋" w:hAnsi="仿宋" w:eastAsia="仿宋" w:cs="Arial"/>
          <w:color w:val="000000" w:themeColor="text1"/>
          <w:sz w:val="32"/>
          <w:szCs w:val="32"/>
          <w:shd w:val="clear" w:color="auto" w:fill="FFFFFF"/>
          <w14:textFill>
            <w14:solidFill>
              <w14:schemeClr w14:val="tx1"/>
            </w14:solidFill>
          </w14:textFill>
        </w:rPr>
        <w:t>1</w:t>
      </w:r>
      <w:r>
        <w:rPr>
          <w:rFonts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海南省内装配式建筑的建设及相关质量监督管理活动，适用本要点。</w:t>
      </w:r>
    </w:p>
    <w:p>
      <w:pPr>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r>
        <w:rPr>
          <w:rFonts w:hint="eastAsia" w:ascii="仿宋" w:hAnsi="仿宋" w:eastAsia="仿宋" w:cs="Arial"/>
          <w:color w:val="000000" w:themeColor="text1"/>
          <w:sz w:val="32"/>
          <w:szCs w:val="32"/>
          <w:shd w:val="clear" w:color="auto" w:fill="FFFFFF"/>
          <w14:textFill>
            <w14:solidFill>
              <w14:schemeClr w14:val="tx1"/>
            </w14:solidFill>
          </w14:textFill>
        </w:rPr>
        <w:t>1.4 省住房城乡建设厅负责全省装配式建筑质量监督管理。省建设工程质量安全监督管理局受省住房城乡建设厅委托具体实施装配式建筑质量监督管理。</w:t>
      </w:r>
    </w:p>
    <w:p>
      <w:pPr>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r>
        <w:rPr>
          <w:rFonts w:hint="eastAsia" w:ascii="仿宋" w:hAnsi="仿宋" w:eastAsia="仿宋" w:cs="Arial"/>
          <w:color w:val="000000" w:themeColor="text1"/>
          <w:sz w:val="32"/>
          <w:szCs w:val="32"/>
          <w:shd w:val="clear" w:color="auto" w:fill="FFFFFF"/>
          <w14:textFill>
            <w14:solidFill>
              <w14:schemeClr w14:val="tx1"/>
            </w14:solidFill>
          </w14:textFill>
        </w:rPr>
        <w:t>县级以上地方人民政府住房城乡建设主管部门及其所属的质量安全监督机构具体负责本行政区域内装配式建筑质量监督管理工作。</w:t>
      </w:r>
    </w:p>
    <w:p>
      <w:pPr>
        <w:spacing w:line="620" w:lineRule="exact"/>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p>
    <w:p>
      <w:pPr>
        <w:ind w:firstLine="643" w:firstLineChars="200"/>
        <w:rPr>
          <w:rFonts w:ascii="仿宋" w:hAnsi="仿宋" w:eastAsia="仿宋" w:cs="宋体"/>
          <w:b/>
          <w:bCs/>
          <w:color w:val="000000" w:themeColor="text1"/>
          <w:kern w:val="0"/>
          <w:sz w:val="32"/>
          <w:szCs w:val="32"/>
          <w14:textFill>
            <w14:solidFill>
              <w14:schemeClr w14:val="tx1"/>
            </w14:solidFill>
          </w14:textFill>
        </w:rPr>
      </w:pPr>
    </w:p>
    <w:p>
      <w:pPr>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p>
    <w:p>
      <w:pPr>
        <w:spacing w:before="100" w:beforeAutospacing="1" w:after="100" w:afterAutospacing="1"/>
        <w:jc w:val="center"/>
        <w:rPr>
          <w:rFonts w:ascii="仿宋" w:hAnsi="仿宋" w:eastAsia="仿宋" w:cs="宋体"/>
          <w:b/>
          <w:bCs/>
          <w:color w:val="000000" w:themeColor="text1"/>
          <w:kern w:val="0"/>
          <w:sz w:val="32"/>
          <w:szCs w:val="32"/>
          <w14:textFill>
            <w14:solidFill>
              <w14:schemeClr w14:val="tx1"/>
            </w14:solidFill>
          </w14:textFill>
        </w:rPr>
      </w:pPr>
      <w:r>
        <w:rPr>
          <w:rFonts w:ascii="仿宋" w:hAnsi="仿宋" w:eastAsia="仿宋" w:cs="宋体"/>
          <w:b/>
          <w:bCs/>
          <w:color w:val="000000" w:themeColor="text1"/>
          <w:kern w:val="0"/>
          <w:sz w:val="32"/>
          <w:szCs w:val="32"/>
          <w14:textFill>
            <w14:solidFill>
              <w14:schemeClr w14:val="tx1"/>
            </w14:solidFill>
          </w14:textFill>
        </w:rPr>
        <w:t>2</w:t>
      </w:r>
      <w:r>
        <w:rPr>
          <w:rFonts w:hint="eastAsia" w:ascii="仿宋" w:hAnsi="仿宋" w:eastAsia="仿宋" w:cs="宋体"/>
          <w:b/>
          <w:bCs/>
          <w:color w:val="000000" w:themeColor="text1"/>
          <w:kern w:val="0"/>
          <w:sz w:val="32"/>
          <w:szCs w:val="32"/>
          <w14:textFill>
            <w14:solidFill>
              <w14:schemeClr w14:val="tx1"/>
            </w14:solidFill>
          </w14:textFill>
        </w:rPr>
        <w:t xml:space="preserve"> 质量责任</w:t>
      </w:r>
    </w:p>
    <w:p>
      <w:pPr>
        <w:spacing w:line="620" w:lineRule="exact"/>
        <w:ind w:firstLine="643" w:firstLineChars="200"/>
        <w:rPr>
          <w:rFonts w:ascii="仿宋" w:hAnsi="仿宋" w:eastAsia="仿宋" w:cs="Arial"/>
          <w:b/>
          <w:bCs/>
          <w:color w:val="000000" w:themeColor="text1"/>
          <w:kern w:val="0"/>
          <w:sz w:val="32"/>
          <w:szCs w:val="32"/>
          <w14:textFill>
            <w14:solidFill>
              <w14:schemeClr w14:val="tx1"/>
            </w14:solidFill>
          </w14:textFill>
        </w:rPr>
      </w:pPr>
      <w:r>
        <w:rPr>
          <w:rFonts w:ascii="仿宋" w:hAnsi="仿宋" w:eastAsia="仿宋" w:cs="Arial"/>
          <w:b/>
          <w:bCs/>
          <w:color w:val="000000" w:themeColor="text1"/>
          <w:kern w:val="0"/>
          <w:sz w:val="32"/>
          <w:szCs w:val="32"/>
          <w14:textFill>
            <w14:solidFill>
              <w14:schemeClr w14:val="tx1"/>
            </w14:solidFill>
          </w14:textFill>
        </w:rPr>
        <w:t>2.1</w:t>
      </w:r>
      <w:r>
        <w:rPr>
          <w:rFonts w:hint="eastAsia" w:ascii="仿宋" w:hAnsi="仿宋" w:eastAsia="仿宋" w:cs="Arial"/>
          <w:b/>
          <w:bCs/>
          <w:color w:val="000000" w:themeColor="text1"/>
          <w:kern w:val="0"/>
          <w:sz w:val="32"/>
          <w:szCs w:val="32"/>
          <w14:textFill>
            <w14:solidFill>
              <w14:schemeClr w14:val="tx1"/>
            </w14:solidFill>
          </w14:textFill>
        </w:rPr>
        <w:t>建设单位</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2.1.1</w:t>
      </w:r>
      <w:r>
        <w:rPr>
          <w:rFonts w:hint="eastAsia" w:ascii="仿宋" w:hAnsi="仿宋" w:eastAsia="仿宋" w:cs="Arial"/>
          <w:color w:val="000000" w:themeColor="text1"/>
          <w:kern w:val="0"/>
          <w:sz w:val="32"/>
          <w:szCs w:val="32"/>
          <w14:textFill>
            <w14:solidFill>
              <w14:schemeClr w14:val="tx1"/>
            </w14:solidFill>
          </w14:textFill>
        </w:rPr>
        <w:t>应根据装配式建筑的特点，总体协调全面工作，在工程建设的全过程中，建设单位应当承担装配式建筑设计、构件制作、施工各方之间的综合管理协调责任，对工程质量负首要责任。</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2.1.2</w:t>
      </w:r>
      <w:r>
        <w:rPr>
          <w:rFonts w:hint="eastAsia" w:ascii="仿宋" w:hAnsi="仿宋" w:eastAsia="仿宋" w:cs="Arial"/>
          <w:color w:val="000000" w:themeColor="text1"/>
          <w:kern w:val="0"/>
          <w:sz w:val="32"/>
          <w:szCs w:val="32"/>
          <w14:textFill>
            <w14:solidFill>
              <w14:schemeClr w14:val="tx1"/>
            </w14:solidFill>
          </w14:textFill>
        </w:rPr>
        <w:t>应按有关规定将装配式建筑施工图设计文件、装配式建筑实施方案文本及其专项审查意见书一并提交施工图审查机构审查。当施工图设计文件有涉及其结构安全、预制率、装配率、使用功能等重大变更时，需送原审查机构重新审图。</w:t>
      </w:r>
      <w:r>
        <w:rPr>
          <w:rFonts w:ascii="Arial" w:hAnsi="Arial" w:eastAsia="仿宋" w:cs="Arial"/>
          <w:color w:val="000000" w:themeColor="text1"/>
          <w:kern w:val="0"/>
          <w:sz w:val="32"/>
          <w:szCs w:val="32"/>
          <w14:textFill>
            <w14:solidFill>
              <w14:schemeClr w14:val="tx1"/>
            </w14:solidFill>
          </w14:textFill>
        </w:rPr>
        <w:t> </w:t>
      </w:r>
    </w:p>
    <w:p>
      <w:pPr>
        <w:pStyle w:val="5"/>
        <w:spacing w:before="0" w:beforeAutospacing="0" w:after="0" w:afterAutospacing="0" w:line="620" w:lineRule="exact"/>
        <w:ind w:firstLine="640" w:firstLineChars="200"/>
        <w:jc w:val="both"/>
        <w:rPr>
          <w:rFonts w:ascii="仿宋" w:hAnsi="仿宋" w:eastAsia="仿宋" w:cs="Arial"/>
          <w:color w:val="000000" w:themeColor="text1"/>
          <w:sz w:val="32"/>
          <w:szCs w:val="32"/>
          <w14:textFill>
            <w14:solidFill>
              <w14:schemeClr w14:val="tx1"/>
            </w14:solidFill>
          </w14:textFill>
        </w:rPr>
      </w:pPr>
      <w:r>
        <w:rPr>
          <w:rFonts w:ascii="仿宋" w:hAnsi="仿宋" w:eastAsia="仿宋" w:cs="Arial"/>
          <w:color w:val="000000" w:themeColor="text1"/>
          <w:sz w:val="32"/>
          <w:szCs w:val="32"/>
          <w14:textFill>
            <w14:solidFill>
              <w14:schemeClr w14:val="tx1"/>
            </w14:solidFill>
          </w14:textFill>
        </w:rPr>
        <w:t>2.1.3</w:t>
      </w:r>
      <w:r>
        <w:rPr>
          <w:rFonts w:hint="eastAsia" w:ascii="仿宋" w:hAnsi="仿宋" w:eastAsia="仿宋" w:cs="Arial"/>
          <w:color w:val="000000" w:themeColor="text1"/>
          <w:sz w:val="32"/>
          <w:szCs w:val="32"/>
          <w14:textFill>
            <w14:solidFill>
              <w14:schemeClr w14:val="tx1"/>
            </w14:solidFill>
          </w14:textFill>
        </w:rPr>
        <w:t>应当将装配式建筑的预制构件制作纳入施工总承包管理，不得肢解发包工程，不得指定分包单位，不得违反合同约定提供结构材料、构件及部品、部件。</w:t>
      </w:r>
    </w:p>
    <w:p>
      <w:pPr>
        <w:pStyle w:val="5"/>
        <w:spacing w:before="0" w:beforeAutospacing="0" w:after="0" w:afterAutospacing="0" w:line="62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ascii="仿宋" w:hAnsi="仿宋" w:eastAsia="仿宋" w:cs="Arial"/>
          <w:color w:val="000000" w:themeColor="text1"/>
          <w:sz w:val="32"/>
          <w:szCs w:val="32"/>
          <w14:textFill>
            <w14:solidFill>
              <w14:schemeClr w14:val="tx1"/>
            </w14:solidFill>
          </w14:textFill>
        </w:rPr>
        <w:t>2.1.4</w:t>
      </w:r>
      <w:r>
        <w:rPr>
          <w:rFonts w:hint="eastAsia" w:ascii="仿宋" w:hAnsi="仿宋" w:eastAsia="仿宋"/>
          <w:color w:val="000000" w:themeColor="text1"/>
          <w:sz w:val="32"/>
          <w:szCs w:val="32"/>
          <w14:textFill>
            <w14:solidFill>
              <w14:schemeClr w14:val="tx1"/>
            </w14:solidFill>
          </w14:textFill>
        </w:rPr>
        <w:t>应组织设计单位、施工单位、监理单位及预制构件生产单位进行首批预制构件验收，验收合格后形成相应的验收记录后方可批量生产。</w:t>
      </w:r>
    </w:p>
    <w:p>
      <w:pPr>
        <w:pStyle w:val="5"/>
        <w:spacing w:before="0" w:beforeAutospacing="0" w:after="0" w:afterAutospacing="0" w:line="62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ascii="仿宋" w:hAnsi="仿宋" w:eastAsia="仿宋" w:cs="Arial"/>
          <w:color w:val="000000" w:themeColor="text1"/>
          <w:sz w:val="32"/>
          <w:szCs w:val="32"/>
          <w14:textFill>
            <w14:solidFill>
              <w14:schemeClr w14:val="tx1"/>
            </w14:solidFill>
          </w14:textFill>
        </w:rPr>
        <w:t>2.1.5</w:t>
      </w:r>
      <w:r>
        <w:rPr>
          <w:rFonts w:hint="eastAsia" w:ascii="仿宋" w:hAnsi="仿宋" w:eastAsia="仿宋"/>
          <w:color w:val="000000" w:themeColor="text1"/>
          <w:sz w:val="32"/>
          <w:szCs w:val="32"/>
          <w14:textFill>
            <w14:solidFill>
              <w14:schemeClr w14:val="tx1"/>
            </w14:solidFill>
          </w14:textFill>
        </w:rPr>
        <w:t>应组织设计单位、施工单位、监理单位对首个施工段预制构件安装后进行验收，验收合格后形成相应的验收记录后方可后续施工。</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2.1.6</w:t>
      </w:r>
      <w:r>
        <w:rPr>
          <w:rFonts w:hint="eastAsia" w:ascii="仿宋" w:hAnsi="仿宋" w:eastAsia="仿宋" w:cs="Arial"/>
          <w:color w:val="000000" w:themeColor="text1"/>
          <w:kern w:val="0"/>
          <w:sz w:val="32"/>
          <w:szCs w:val="32"/>
          <w14:textFill>
            <w14:solidFill>
              <w14:schemeClr w14:val="tx1"/>
            </w14:solidFill>
          </w14:textFill>
        </w:rPr>
        <w:t>首个装配式标准层结构浇筑混凝土之前，建设单位应组织设计、监理、施工、构件生产单位等各参建各方进行工程验收，重点检查预制构件安装和连接节点、定型装配式模板安装等并留存验收记录及影像资料。</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2.1.7</w:t>
      </w:r>
      <w:r>
        <w:rPr>
          <w:rFonts w:hint="eastAsia" w:ascii="仿宋" w:hAnsi="仿宋" w:eastAsia="仿宋" w:cs="Arial"/>
          <w:color w:val="000000" w:themeColor="text1"/>
          <w:kern w:val="0"/>
          <w:sz w:val="32"/>
          <w:szCs w:val="32"/>
          <w14:textFill>
            <w14:solidFill>
              <w14:schemeClr w14:val="tx1"/>
            </w14:solidFill>
          </w14:textFill>
        </w:rPr>
        <w:t>实施预制构件生产驻厂监造制度，建设单位应当组织监理单位对预制构件生产过程进行驻厂监造。</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2.1.8</w:t>
      </w:r>
      <w:r>
        <w:rPr>
          <w:rFonts w:hint="eastAsia" w:ascii="仿宋" w:hAnsi="仿宋" w:eastAsia="仿宋" w:cs="Arial"/>
          <w:color w:val="000000" w:themeColor="text1"/>
          <w:kern w:val="0"/>
          <w:sz w:val="32"/>
          <w:szCs w:val="32"/>
          <w14:textFill>
            <w14:solidFill>
              <w14:schemeClr w14:val="tx1"/>
            </w14:solidFill>
          </w14:textFill>
        </w:rPr>
        <w:t>应协调监理、施工单位建立预制构件出厂检验和进场验收制度。</w:t>
      </w:r>
    </w:p>
    <w:p>
      <w:pPr>
        <w:widowControl/>
        <w:spacing w:line="620" w:lineRule="exact"/>
        <w:ind w:firstLine="643" w:firstLineChars="200"/>
        <w:rPr>
          <w:rFonts w:ascii="仿宋" w:hAnsi="仿宋" w:eastAsia="仿宋" w:cs="Arial"/>
          <w:b/>
          <w:bCs/>
          <w:color w:val="000000" w:themeColor="text1"/>
          <w:kern w:val="0"/>
          <w:sz w:val="32"/>
          <w:szCs w:val="32"/>
          <w14:textFill>
            <w14:solidFill>
              <w14:schemeClr w14:val="tx1"/>
            </w14:solidFill>
          </w14:textFill>
        </w:rPr>
      </w:pPr>
      <w:r>
        <w:rPr>
          <w:rFonts w:ascii="仿宋" w:hAnsi="仿宋" w:eastAsia="仿宋" w:cs="Arial"/>
          <w:b/>
          <w:bCs/>
          <w:color w:val="000000" w:themeColor="text1"/>
          <w:kern w:val="0"/>
          <w:sz w:val="32"/>
          <w:szCs w:val="32"/>
          <w14:textFill>
            <w14:solidFill>
              <w14:schemeClr w14:val="tx1"/>
            </w14:solidFill>
          </w14:textFill>
        </w:rPr>
        <w:t>2.2</w:t>
      </w:r>
      <w:r>
        <w:rPr>
          <w:rFonts w:hint="eastAsia" w:ascii="仿宋" w:hAnsi="仿宋" w:eastAsia="仿宋" w:cs="Arial"/>
          <w:b/>
          <w:bCs/>
          <w:color w:val="000000" w:themeColor="text1"/>
          <w:kern w:val="0"/>
          <w:sz w:val="32"/>
          <w:szCs w:val="32"/>
          <w14:textFill>
            <w14:solidFill>
              <w14:schemeClr w14:val="tx1"/>
            </w14:solidFill>
          </w14:textFill>
        </w:rPr>
        <w:t>设计单位</w:t>
      </w:r>
    </w:p>
    <w:p>
      <w:pPr>
        <w:widowControl/>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2.2.1</w:t>
      </w:r>
      <w:r>
        <w:rPr>
          <w:rFonts w:hint="eastAsia" w:ascii="仿宋" w:hAnsi="仿宋" w:eastAsia="仿宋" w:cs="Arial"/>
          <w:color w:val="000000" w:themeColor="text1"/>
          <w:kern w:val="0"/>
          <w:sz w:val="32"/>
          <w:szCs w:val="32"/>
          <w14:textFill>
            <w14:solidFill>
              <w14:schemeClr w14:val="tx1"/>
            </w14:solidFill>
          </w14:textFill>
        </w:rPr>
        <w:t>应当按照工程建设强制性标准进行设计，在设计文件中要明确装配式建筑的结构体系、预制率、装配率、预制构件品种和规格、主要结构构件的连接方式、质量和安全的保障措施等。并编制装配式建筑设计说明专篇，对可能存在的重大风险提出专项设计要求。</w:t>
      </w:r>
    </w:p>
    <w:p>
      <w:pPr>
        <w:widowControl/>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2</w:t>
      </w:r>
      <w:r>
        <w:rPr>
          <w:rFonts w:ascii="仿宋" w:hAnsi="仿宋" w:eastAsia="仿宋" w:cs="Arial"/>
          <w:color w:val="000000" w:themeColor="text1"/>
          <w:kern w:val="0"/>
          <w:sz w:val="32"/>
          <w:szCs w:val="32"/>
          <w14:textFill>
            <w14:solidFill>
              <w14:schemeClr w14:val="tx1"/>
            </w14:solidFill>
          </w14:textFill>
        </w:rPr>
        <w:t xml:space="preserve">.2.2 </w:t>
      </w:r>
      <w:r>
        <w:rPr>
          <w:rFonts w:hint="eastAsia" w:ascii="仿宋" w:hAnsi="仿宋" w:eastAsia="仿宋" w:cs="Arial"/>
          <w:color w:val="000000" w:themeColor="text1"/>
          <w:kern w:val="0"/>
          <w:sz w:val="32"/>
          <w:szCs w:val="32"/>
          <w14:textFill>
            <w14:solidFill>
              <w14:schemeClr w14:val="tx1"/>
            </w14:solidFill>
          </w14:textFill>
        </w:rPr>
        <w:t>应根据装配式建筑专项审查意见进行施工图设计。</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2.2.3</w:t>
      </w:r>
      <w:r>
        <w:rPr>
          <w:rFonts w:hint="eastAsia" w:ascii="仿宋" w:hAnsi="仿宋" w:eastAsia="仿宋" w:cs="Arial"/>
          <w:color w:val="000000" w:themeColor="text1"/>
          <w:kern w:val="0"/>
          <w:sz w:val="32"/>
          <w:szCs w:val="32"/>
          <w14:textFill>
            <w14:solidFill>
              <w14:schemeClr w14:val="tx1"/>
            </w14:solidFill>
          </w14:textFill>
        </w:rPr>
        <w:t>应当完成装配式建筑的结构构件及节点连接设计，为构件生产提供依据，满足构件制作、吊运和现场安装时构件的成品保护和安装安全要求。</w:t>
      </w:r>
    </w:p>
    <w:p>
      <w:pPr>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2.2.4</w:t>
      </w:r>
      <w:r>
        <w:rPr>
          <w:rFonts w:hint="eastAsia" w:ascii="仿宋" w:hAnsi="仿宋" w:eastAsia="仿宋" w:cs="Arial"/>
          <w:color w:val="000000" w:themeColor="text1"/>
          <w:kern w:val="0"/>
          <w:sz w:val="32"/>
          <w:szCs w:val="32"/>
          <w14:textFill>
            <w14:solidFill>
              <w14:schemeClr w14:val="tx1"/>
            </w14:solidFill>
          </w14:textFill>
        </w:rPr>
        <w:t>应就装配式建筑设计内容向监理、施工、预制构件生产单位进行设计交底，并参与装配式建筑专项施工方案的讨论。</w:t>
      </w:r>
    </w:p>
    <w:p>
      <w:pPr>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2.2.5</w:t>
      </w:r>
      <w:r>
        <w:rPr>
          <w:rFonts w:hint="eastAsia" w:ascii="仿宋" w:hAnsi="仿宋" w:eastAsia="仿宋" w:cs="Arial"/>
          <w:color w:val="000000" w:themeColor="text1"/>
          <w:kern w:val="0"/>
          <w:sz w:val="32"/>
          <w:szCs w:val="32"/>
          <w14:textFill>
            <w14:solidFill>
              <w14:schemeClr w14:val="tx1"/>
            </w14:solidFill>
          </w14:textFill>
        </w:rPr>
        <w:t>应核实预制构件深化图与施工图设计文件的符合性，未经核实通过严禁进行预制构件生产加工。</w:t>
      </w:r>
    </w:p>
    <w:p>
      <w:pPr>
        <w:widowControl/>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2.2.6</w:t>
      </w:r>
      <w:r>
        <w:rPr>
          <w:rFonts w:hint="eastAsia" w:ascii="仿宋" w:hAnsi="仿宋" w:eastAsia="仿宋" w:cs="Arial"/>
          <w:color w:val="000000" w:themeColor="text1"/>
          <w:kern w:val="0"/>
          <w:sz w:val="32"/>
          <w:szCs w:val="32"/>
          <w14:textFill>
            <w14:solidFill>
              <w14:schemeClr w14:val="tx1"/>
            </w14:solidFill>
          </w14:textFill>
        </w:rPr>
        <w:t>应参加</w:t>
      </w:r>
      <w:r>
        <w:rPr>
          <w:rFonts w:hint="eastAsia" w:ascii="仿宋" w:hAnsi="仿宋" w:eastAsia="仿宋"/>
          <w:color w:val="000000" w:themeColor="text1"/>
          <w:sz w:val="32"/>
          <w:szCs w:val="32"/>
          <w14:textFill>
            <w14:solidFill>
              <w14:schemeClr w14:val="tx1"/>
            </w14:solidFill>
          </w14:textFill>
        </w:rPr>
        <w:t>首批预制构件、首</w:t>
      </w:r>
      <w:r>
        <w:rPr>
          <w:rFonts w:hint="eastAsia" w:ascii="仿宋" w:hAnsi="仿宋" w:eastAsia="仿宋" w:cs="Arial"/>
          <w:color w:val="000000" w:themeColor="text1"/>
          <w:kern w:val="0"/>
          <w:sz w:val="32"/>
          <w:szCs w:val="32"/>
          <w14:textFill>
            <w14:solidFill>
              <w14:schemeClr w14:val="tx1"/>
            </w14:solidFill>
          </w14:textFill>
        </w:rPr>
        <w:t>个施工段预制构件安装、首个装配式标准层结构浇筑混凝土之前的质量验收。</w:t>
      </w:r>
    </w:p>
    <w:p>
      <w:pPr>
        <w:widowControl/>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2.2.7</w:t>
      </w:r>
      <w:r>
        <w:rPr>
          <w:rFonts w:hint="eastAsia" w:ascii="仿宋" w:hAnsi="仿宋" w:eastAsia="仿宋" w:cs="Arial"/>
          <w:color w:val="000000" w:themeColor="text1"/>
          <w:kern w:val="0"/>
          <w:sz w:val="32"/>
          <w:szCs w:val="32"/>
          <w14:textFill>
            <w14:solidFill>
              <w14:schemeClr w14:val="tx1"/>
            </w14:solidFill>
          </w14:textFill>
        </w:rPr>
        <w:t>装配式建筑设计应考虑预制构件的生产、运输及装配式施工的特点。</w:t>
      </w:r>
    </w:p>
    <w:p>
      <w:pPr>
        <w:spacing w:line="620" w:lineRule="exact"/>
        <w:ind w:firstLine="643" w:firstLineChars="200"/>
        <w:rPr>
          <w:rFonts w:ascii="仿宋" w:hAnsi="仿宋" w:eastAsia="仿宋" w:cs="Arial"/>
          <w:b/>
          <w:bCs/>
          <w:color w:val="000000" w:themeColor="text1"/>
          <w:kern w:val="0"/>
          <w:sz w:val="32"/>
          <w:szCs w:val="32"/>
          <w14:textFill>
            <w14:solidFill>
              <w14:schemeClr w14:val="tx1"/>
            </w14:solidFill>
          </w14:textFill>
        </w:rPr>
      </w:pPr>
      <w:r>
        <w:rPr>
          <w:rFonts w:ascii="仿宋" w:hAnsi="仿宋" w:eastAsia="仿宋" w:cs="Arial"/>
          <w:b/>
          <w:bCs/>
          <w:color w:val="000000" w:themeColor="text1"/>
          <w:kern w:val="0"/>
          <w:sz w:val="32"/>
          <w:szCs w:val="32"/>
          <w14:textFill>
            <w14:solidFill>
              <w14:schemeClr w14:val="tx1"/>
            </w14:solidFill>
          </w14:textFill>
        </w:rPr>
        <w:t>2.3</w:t>
      </w:r>
      <w:r>
        <w:rPr>
          <w:rFonts w:hint="eastAsia" w:ascii="仿宋" w:hAnsi="仿宋" w:eastAsia="仿宋" w:cs="Arial"/>
          <w:b/>
          <w:bCs/>
          <w:color w:val="000000" w:themeColor="text1"/>
          <w:kern w:val="0"/>
          <w:sz w:val="32"/>
          <w:szCs w:val="32"/>
          <w14:textFill>
            <w14:solidFill>
              <w14:schemeClr w14:val="tx1"/>
            </w14:solidFill>
          </w14:textFill>
        </w:rPr>
        <w:t>施工单位</w:t>
      </w:r>
    </w:p>
    <w:p>
      <w:pPr>
        <w:widowControl/>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2.3.1</w:t>
      </w:r>
      <w:r>
        <w:rPr>
          <w:rFonts w:hint="eastAsia" w:ascii="仿宋" w:hAnsi="仿宋" w:eastAsia="仿宋" w:cs="Arial"/>
          <w:color w:val="000000" w:themeColor="text1"/>
          <w:kern w:val="0"/>
          <w:sz w:val="32"/>
          <w:szCs w:val="32"/>
          <w14:textFill>
            <w14:solidFill>
              <w14:schemeClr w14:val="tx1"/>
            </w14:solidFill>
          </w14:textFill>
        </w:rPr>
        <w:t>应当根据装配式建筑的特点和相关规范标准制定专项施工方案，按照经审查通过的施工图设计文件和经批准的施工方案进行施工，并做好有关质量技术培训工作。施工单位结合施工工艺和施工组织设计进行的深化设计，需经设计单位确认后方可用于施工。</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2.3.2</w:t>
      </w:r>
      <w:r>
        <w:rPr>
          <w:rFonts w:hint="eastAsia" w:ascii="仿宋" w:hAnsi="仿宋" w:eastAsia="仿宋" w:cs="Arial"/>
          <w:color w:val="000000" w:themeColor="text1"/>
          <w:kern w:val="0"/>
          <w:sz w:val="32"/>
          <w:szCs w:val="32"/>
          <w14:textFill>
            <w14:solidFill>
              <w14:schemeClr w14:val="tx1"/>
            </w14:solidFill>
          </w14:textFill>
        </w:rPr>
        <w:t>应当将预制构件生产制作工程分包给具有相应资质的企业。</w:t>
      </w:r>
    </w:p>
    <w:p>
      <w:pPr>
        <w:ind w:firstLine="640" w:firstLineChars="200"/>
        <w:jc w:val="left"/>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2.3.3</w:t>
      </w:r>
      <w:r>
        <w:rPr>
          <w:rFonts w:hint="eastAsia" w:ascii="仿宋" w:hAnsi="仿宋" w:eastAsia="仿宋" w:cs="Arial"/>
          <w:color w:val="000000" w:themeColor="text1"/>
          <w:kern w:val="0"/>
          <w:sz w:val="32"/>
          <w:szCs w:val="32"/>
          <w14:textFill>
            <w14:solidFill>
              <w14:schemeClr w14:val="tx1"/>
            </w14:solidFill>
          </w14:textFill>
        </w:rPr>
        <w:t>应对预制构件生产制作过程履行施工总承包职责，对预制构件生产单位编制的预制构件生产、运输方案进行审核确认，并配合监理单位实施预制构件生产过程的驻厂监理。</w:t>
      </w:r>
    </w:p>
    <w:p>
      <w:pPr>
        <w:ind w:firstLine="640" w:firstLineChars="200"/>
        <w:jc w:val="left"/>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sz w:val="32"/>
          <w:szCs w:val="32"/>
          <w:shd w:val="clear" w:color="auto" w:fill="FFFFFF"/>
          <w14:textFill>
            <w14:solidFill>
              <w14:schemeClr w14:val="tx1"/>
            </w14:solidFill>
          </w14:textFill>
        </w:rPr>
        <w:t>2.3.4</w:t>
      </w:r>
      <w:r>
        <w:rPr>
          <w:rFonts w:hint="eastAsia" w:ascii="仿宋" w:hAnsi="仿宋" w:eastAsia="仿宋" w:cs="Arial"/>
          <w:color w:val="000000" w:themeColor="text1"/>
          <w:kern w:val="0"/>
          <w:sz w:val="32"/>
          <w:szCs w:val="32"/>
          <w14:textFill>
            <w14:solidFill>
              <w14:schemeClr w14:val="tx1"/>
            </w14:solidFill>
          </w14:textFill>
        </w:rPr>
        <w:t xml:space="preserve"> 应当对灌浆施工的操作人员组织开展现场技能培训和考核，考核通过后方可进行灌浆作业。</w:t>
      </w:r>
    </w:p>
    <w:p>
      <w:pPr>
        <w:spacing w:line="62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2.3.5</w:t>
      </w:r>
      <w:r>
        <w:rPr>
          <w:rFonts w:hint="eastAsia" w:ascii="仿宋" w:hAnsi="仿宋" w:eastAsia="仿宋" w:cs="Arial"/>
          <w:color w:val="000000" w:themeColor="text1"/>
          <w:kern w:val="0"/>
          <w:sz w:val="32"/>
          <w:szCs w:val="32"/>
          <w14:textFill>
            <w14:solidFill>
              <w14:schemeClr w14:val="tx1"/>
            </w14:solidFill>
          </w14:textFill>
        </w:rPr>
        <w:t>会同监理单位、构件生产企业对进入施工现场的预制构件质量进行验收</w:t>
      </w:r>
      <w:r>
        <w:rPr>
          <w:rFonts w:hint="eastAsia" w:ascii="仿宋" w:hAnsi="仿宋" w:eastAsia="仿宋" w:cs="宋体"/>
          <w:color w:val="000000" w:themeColor="text1"/>
          <w:kern w:val="0"/>
          <w:sz w:val="32"/>
          <w:szCs w:val="32"/>
          <w14:textFill>
            <w14:solidFill>
              <w14:schemeClr w14:val="tx1"/>
            </w14:solidFill>
          </w14:textFill>
        </w:rPr>
        <w:t>。</w:t>
      </w:r>
    </w:p>
    <w:p>
      <w:pPr>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2.3.6</w:t>
      </w:r>
      <w:r>
        <w:rPr>
          <w:rFonts w:hint="eastAsia" w:ascii="仿宋" w:hAnsi="仿宋" w:eastAsia="仿宋" w:cs="Arial"/>
          <w:color w:val="000000" w:themeColor="text1"/>
          <w:kern w:val="0"/>
          <w:sz w:val="32"/>
          <w:szCs w:val="32"/>
          <w14:textFill>
            <w14:solidFill>
              <w14:schemeClr w14:val="tx1"/>
            </w14:solidFill>
          </w14:textFill>
        </w:rPr>
        <w:t xml:space="preserve"> </w:t>
      </w:r>
      <w:bookmarkStart w:id="0" w:name="_Hlk91088178"/>
      <w:r>
        <w:rPr>
          <w:rFonts w:hint="eastAsia" w:ascii="仿宋" w:hAnsi="仿宋" w:eastAsia="仿宋" w:cs="Arial"/>
          <w:color w:val="000000" w:themeColor="text1"/>
          <w:kern w:val="0"/>
          <w:sz w:val="32"/>
          <w:szCs w:val="32"/>
          <w14:textFill>
            <w14:solidFill>
              <w14:schemeClr w14:val="tx1"/>
            </w14:solidFill>
          </w14:textFill>
        </w:rPr>
        <w:t>应建立健全</w:t>
      </w:r>
      <w:bookmarkEnd w:id="0"/>
      <w:bookmarkStart w:id="1" w:name="_Hlk91088160"/>
      <w:r>
        <w:rPr>
          <w:rFonts w:hint="eastAsia" w:ascii="仿宋" w:hAnsi="仿宋" w:eastAsia="仿宋" w:cs="Arial"/>
          <w:color w:val="000000" w:themeColor="text1"/>
          <w:kern w:val="0"/>
          <w:sz w:val="32"/>
          <w:szCs w:val="32"/>
          <w14:textFill>
            <w14:solidFill>
              <w14:schemeClr w14:val="tx1"/>
            </w14:solidFill>
          </w14:textFill>
        </w:rPr>
        <w:t>预制构件施工安装过程质量检验制度:</w:t>
      </w:r>
      <w:bookmarkEnd w:id="1"/>
    </w:p>
    <w:p>
      <w:pPr>
        <w:ind w:firstLine="640" w:firstLineChars="200"/>
        <w:jc w:val="left"/>
        <w:rPr>
          <w:rFonts w:ascii="仿宋" w:hAnsi="仿宋" w:eastAsia="仿宋" w:cs="Arial"/>
          <w:color w:val="000000" w:themeColor="text1"/>
          <w:sz w:val="32"/>
          <w:szCs w:val="32"/>
          <w:shd w:val="clear" w:color="auto" w:fill="FFFFFF"/>
          <w14:textFill>
            <w14:solidFill>
              <w14:schemeClr w14:val="tx1"/>
            </w14:solidFill>
          </w14:textFill>
        </w:rPr>
      </w:pPr>
      <w:r>
        <w:rPr>
          <w:rFonts w:hint="eastAsia" w:ascii="仿宋" w:hAnsi="仿宋" w:eastAsia="仿宋" w:cs="Arial"/>
          <w:color w:val="000000" w:themeColor="text1"/>
          <w:sz w:val="32"/>
          <w:szCs w:val="32"/>
          <w:shd w:val="clear" w:color="auto" w:fill="FFFFFF"/>
          <w14:textFill>
            <w14:solidFill>
              <w14:schemeClr w14:val="tx1"/>
            </w14:solidFill>
          </w14:textFill>
        </w:rPr>
        <w:t>（一）</w:t>
      </w:r>
      <w:r>
        <w:rPr>
          <w:rFonts w:hint="eastAsia" w:ascii="仿宋" w:hAnsi="仿宋" w:eastAsia="仿宋" w:cs="Arial"/>
          <w:color w:val="000000" w:themeColor="text1"/>
          <w:kern w:val="0"/>
          <w:sz w:val="32"/>
          <w:szCs w:val="32"/>
          <w14:textFill>
            <w14:solidFill>
              <w14:schemeClr w14:val="tx1"/>
            </w14:solidFill>
          </w14:textFill>
        </w:rPr>
        <w:t>会同预制构件生产单位、监理单位对进场预制构件芯片、二维码等标识、出厂合格证及使用说明书、外观质量及质量控制资料等进行验收，未经进场验收或进场验收不合格的预制构件，严禁使用。</w:t>
      </w:r>
    </w:p>
    <w:p>
      <w:pPr>
        <w:ind w:firstLine="640" w:firstLineChars="200"/>
        <w:jc w:val="left"/>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对预制构件钢筋连接灌浆作业进行全过程质量管控，并形成可追溯的文档记录资料及影像记录资料。对钢筋套筒灌浆施工进行全过程视频拍摄，该视频作为工程施工资料留存。视频内容必须包含：灌浆施工人员、专职检验人员、旁站监理人员、灌浆部位、预制构件编号、套筒顺序编号、灌浆出浆完成等情况。视频格式宜采用常见数码格式。视频文件应按楼栋编号分类归档保存，文件名包含楼栋号、楼层数、预制构件编号。视频拍摄以一个构件的灌浆为段落，宜定点连续拍摄。</w:t>
      </w:r>
    </w:p>
    <w:p>
      <w:pPr>
        <w:ind w:firstLine="640" w:firstLineChars="200"/>
        <w:jc w:val="left"/>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（三）预制构件施工安装过程的隐蔽工程和检验批进行自检、评定，合格后通知监理单位进行验收，隐蔽工程和检验批未经验收或者验收不合格，不得进入下道工序施工。</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 xml:space="preserve">2.3.7 </w:t>
      </w:r>
      <w:r>
        <w:rPr>
          <w:rFonts w:hint="eastAsia" w:ascii="仿宋" w:hAnsi="仿宋" w:eastAsia="仿宋" w:cs="Arial"/>
          <w:color w:val="000000" w:themeColor="text1"/>
          <w:kern w:val="0"/>
          <w:sz w:val="32"/>
          <w:szCs w:val="32"/>
          <w14:textFill>
            <w14:solidFill>
              <w14:schemeClr w14:val="tx1"/>
            </w14:solidFill>
          </w14:textFill>
        </w:rPr>
        <w:t>应对灌浆套筒、内墙板、楼板连接等重点部位和关键环节实施举牌验收制度，并按要求留存影像资料和验收记录。</w:t>
      </w:r>
    </w:p>
    <w:p>
      <w:pPr>
        <w:spacing w:line="620" w:lineRule="exact"/>
        <w:ind w:firstLine="643" w:firstLineChars="200"/>
        <w:rPr>
          <w:rFonts w:ascii="仿宋" w:hAnsi="仿宋" w:eastAsia="仿宋" w:cs="Arial"/>
          <w:b/>
          <w:bCs/>
          <w:color w:val="000000" w:themeColor="text1"/>
          <w:kern w:val="0"/>
          <w:sz w:val="32"/>
          <w:szCs w:val="32"/>
          <w14:textFill>
            <w14:solidFill>
              <w14:schemeClr w14:val="tx1"/>
            </w14:solidFill>
          </w14:textFill>
        </w:rPr>
      </w:pPr>
      <w:r>
        <w:rPr>
          <w:rFonts w:ascii="仿宋" w:hAnsi="仿宋" w:eastAsia="仿宋" w:cs="Arial"/>
          <w:b/>
          <w:bCs/>
          <w:color w:val="000000" w:themeColor="text1"/>
          <w:kern w:val="0"/>
          <w:sz w:val="32"/>
          <w:szCs w:val="32"/>
          <w14:textFill>
            <w14:solidFill>
              <w14:schemeClr w14:val="tx1"/>
            </w14:solidFill>
          </w14:textFill>
        </w:rPr>
        <w:t>2.4</w:t>
      </w:r>
      <w:r>
        <w:rPr>
          <w:rFonts w:hint="eastAsia" w:ascii="仿宋" w:hAnsi="仿宋" w:eastAsia="仿宋" w:cs="Arial"/>
          <w:b/>
          <w:bCs/>
          <w:color w:val="000000" w:themeColor="text1"/>
          <w:kern w:val="0"/>
          <w:sz w:val="32"/>
          <w:szCs w:val="32"/>
          <w14:textFill>
            <w14:solidFill>
              <w14:schemeClr w14:val="tx1"/>
            </w14:solidFill>
          </w14:textFill>
        </w:rPr>
        <w:t>监理单位</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2.4.1</w:t>
      </w:r>
      <w:r>
        <w:rPr>
          <w:rFonts w:hint="eastAsia" w:ascii="仿宋" w:hAnsi="仿宋" w:eastAsia="仿宋" w:cs="Arial"/>
          <w:color w:val="000000" w:themeColor="text1"/>
          <w:kern w:val="0"/>
          <w:sz w:val="32"/>
          <w:szCs w:val="32"/>
          <w14:textFill>
            <w14:solidFill>
              <w14:schemeClr w14:val="tx1"/>
            </w14:solidFill>
          </w14:textFill>
        </w:rPr>
        <w:t>应当结合装配式建筑的特点，编制有针对性的专项监理实施细则，加强对预制构件的检查，在监理合同中明确实施驻厂监理的内容，并按照规定做好装配式建筑施工质量验收工作。</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2.4.2</w:t>
      </w:r>
      <w:r>
        <w:rPr>
          <w:rFonts w:hint="eastAsia" w:ascii="仿宋" w:hAnsi="仿宋" w:eastAsia="仿宋" w:cs="Arial"/>
          <w:color w:val="000000" w:themeColor="text1"/>
          <w:kern w:val="0"/>
          <w:sz w:val="32"/>
          <w:szCs w:val="32"/>
          <w14:textFill>
            <w14:solidFill>
              <w14:schemeClr w14:val="tx1"/>
            </w14:solidFill>
          </w14:textFill>
        </w:rPr>
        <w:t>监理规划、专项监理细则应具有针对性、可操作性等特点；装配式建筑监理实施细则中，明确监理人员对机具、人员审核及巡视记录、吊装、灌浆旁站等要求。</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2.4.3</w:t>
      </w:r>
      <w:r>
        <w:rPr>
          <w:rFonts w:hint="eastAsia" w:ascii="仿宋" w:hAnsi="仿宋" w:eastAsia="仿宋" w:cs="Arial"/>
          <w:color w:val="000000" w:themeColor="text1"/>
          <w:kern w:val="0"/>
          <w:sz w:val="32"/>
          <w:szCs w:val="32"/>
          <w14:textFill>
            <w14:solidFill>
              <w14:schemeClr w14:val="tx1"/>
            </w14:solidFill>
          </w14:textFill>
        </w:rPr>
        <w:t>核查施工管理人员及安装作业人员的培训情况。</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2.4.4</w:t>
      </w:r>
      <w:r>
        <w:rPr>
          <w:rFonts w:hint="eastAsia" w:ascii="仿宋" w:hAnsi="仿宋" w:eastAsia="仿宋" w:cs="Arial"/>
          <w:color w:val="000000" w:themeColor="text1"/>
          <w:kern w:val="0"/>
          <w:sz w:val="32"/>
          <w:szCs w:val="32"/>
          <w14:textFill>
            <w14:solidFill>
              <w14:schemeClr w14:val="tx1"/>
            </w14:solidFill>
          </w14:textFill>
        </w:rPr>
        <w:t>应对预制构件生产单位、施工单位的质量保证体系进行审核，对预制构件生产单位编制的预制构件制作方案及施工单位的施工组织设计和装配式建筑专项施工方案进行审批。</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2.4.5</w:t>
      </w:r>
      <w:r>
        <w:rPr>
          <w:rFonts w:hint="eastAsia" w:ascii="仿宋" w:hAnsi="仿宋" w:eastAsia="仿宋" w:cs="Arial"/>
          <w:color w:val="000000" w:themeColor="text1"/>
          <w:kern w:val="0"/>
          <w:sz w:val="32"/>
          <w:szCs w:val="32"/>
          <w14:textFill>
            <w14:solidFill>
              <w14:schemeClr w14:val="tx1"/>
            </w14:solidFill>
          </w14:textFill>
        </w:rPr>
        <w:t>实施预制构件生产制作全过程的驻厂监理。预制构件生产前，对预制构件原材料进行质量检查，见证送检，对预制构件生产过程的隐蔽工程和检验批进行质量验收，对需要进行结构性能检验的预制构件见证送检，对重要的节点部位有相应的检查记录。</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2</w:t>
      </w:r>
      <w:r>
        <w:rPr>
          <w:rFonts w:ascii="仿宋" w:hAnsi="仿宋" w:eastAsia="仿宋" w:cs="宋体"/>
          <w:color w:val="000000" w:themeColor="text1"/>
          <w:kern w:val="0"/>
          <w:sz w:val="32"/>
          <w:szCs w:val="32"/>
          <w14:textFill>
            <w14:solidFill>
              <w14:schemeClr w14:val="tx1"/>
            </w14:solidFill>
          </w14:textFill>
        </w:rPr>
        <w:t>.4.6</w:t>
      </w:r>
      <w:r>
        <w:rPr>
          <w:rFonts w:hint="eastAsia" w:ascii="仿宋" w:hAnsi="仿宋" w:eastAsia="仿宋" w:cs="宋体"/>
          <w:color w:val="000000" w:themeColor="text1"/>
          <w:kern w:val="0"/>
          <w:sz w:val="32"/>
          <w:szCs w:val="32"/>
          <w14:textFill>
            <w14:solidFill>
              <w14:schemeClr w14:val="tx1"/>
            </w14:solidFill>
          </w14:textFill>
        </w:rPr>
        <w:t>组织</w:t>
      </w:r>
      <w:r>
        <w:rPr>
          <w:rFonts w:hint="eastAsia" w:ascii="仿宋" w:hAnsi="仿宋" w:eastAsia="仿宋" w:cs="Arial"/>
          <w:color w:val="000000" w:themeColor="text1"/>
          <w:kern w:val="0"/>
          <w:sz w:val="32"/>
          <w:szCs w:val="32"/>
          <w14:textFill>
            <w14:solidFill>
              <w14:schemeClr w14:val="tx1"/>
            </w14:solidFill>
          </w14:textFill>
        </w:rPr>
        <w:t>施工单位、构件生产企业对进入施工现场的预制构件质量进行验收</w:t>
      </w:r>
      <w:r>
        <w:rPr>
          <w:rFonts w:hint="eastAsia" w:ascii="仿宋" w:hAnsi="仿宋" w:eastAsia="仿宋" w:cs="宋体"/>
          <w:color w:val="000000" w:themeColor="text1"/>
          <w:kern w:val="0"/>
          <w:sz w:val="32"/>
          <w:szCs w:val="32"/>
          <w14:textFill>
            <w14:solidFill>
              <w14:schemeClr w14:val="tx1"/>
            </w14:solidFill>
          </w14:textFill>
        </w:rPr>
        <w:t>。</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 xml:space="preserve">2.4.7 </w:t>
      </w:r>
      <w:r>
        <w:rPr>
          <w:rFonts w:hint="eastAsia" w:ascii="仿宋" w:hAnsi="仿宋" w:eastAsia="仿宋" w:cs="宋体"/>
          <w:color w:val="000000" w:themeColor="text1"/>
          <w:kern w:val="0"/>
          <w:sz w:val="32"/>
          <w:szCs w:val="32"/>
          <w14:textFill>
            <w14:solidFill>
              <w14:schemeClr w14:val="tx1"/>
            </w14:solidFill>
          </w14:textFill>
        </w:rPr>
        <w:t>对灌（坐）浆料、灌浆套筒连接接头、灌（坐）浆料抗压强度试块的见证取样和送检，以及对预制混凝土构件、吊装、安装和灌浆套筒连接的灌浆过程等关键工序</w:t>
      </w:r>
      <w:r>
        <w:rPr>
          <w:rFonts w:hint="eastAsia" w:ascii="仿宋" w:hAnsi="仿宋" w:eastAsia="仿宋" w:cs="Arial"/>
          <w:color w:val="000000" w:themeColor="text1"/>
          <w:kern w:val="0"/>
          <w:sz w:val="32"/>
          <w:szCs w:val="32"/>
          <w14:textFill>
            <w14:solidFill>
              <w14:schemeClr w14:val="tx1"/>
            </w14:solidFill>
          </w14:textFill>
        </w:rPr>
        <w:t>实施监理旁站。</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2.4.8</w:t>
      </w:r>
      <w:r>
        <w:rPr>
          <w:rFonts w:hint="eastAsia" w:ascii="仿宋" w:hAnsi="仿宋" w:eastAsia="仿宋" w:cs="Arial"/>
          <w:color w:val="000000" w:themeColor="text1"/>
          <w:kern w:val="0"/>
          <w:sz w:val="32"/>
          <w:szCs w:val="32"/>
          <w14:textFill>
            <w14:solidFill>
              <w14:schemeClr w14:val="tx1"/>
            </w14:solidFill>
          </w14:textFill>
        </w:rPr>
        <w:t>会同施工单位对灌浆套筒、钢结构住宅外墙板、内墙板、楼板连接等重点部位和关键环节实施举牌验收制度，并留存影像资料和验收记录。</w:t>
      </w:r>
    </w:p>
    <w:p>
      <w:pPr>
        <w:spacing w:line="62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2.4.9</w:t>
      </w:r>
      <w:r>
        <w:rPr>
          <w:rFonts w:hint="eastAsia" w:ascii="仿宋" w:hAnsi="仿宋" w:eastAsia="仿宋" w:cs="Arial"/>
          <w:color w:val="000000" w:themeColor="text1"/>
          <w:kern w:val="0"/>
          <w:sz w:val="32"/>
          <w:szCs w:val="32"/>
          <w14:textFill>
            <w14:solidFill>
              <w14:schemeClr w14:val="tx1"/>
            </w14:solidFill>
          </w14:textFill>
        </w:rPr>
        <w:t>应检查装配式建筑施工是否按照设计文件、装配式建筑专项施工方案进行施工。未按要求进行施工时，监理单位应及时向建设单位或工程所在地住房城乡建设行政主管部门报告。</w:t>
      </w:r>
    </w:p>
    <w:p>
      <w:pPr>
        <w:widowControl/>
        <w:shd w:val="clear" w:color="auto" w:fill="FFFFFF"/>
        <w:spacing w:line="620" w:lineRule="exact"/>
        <w:ind w:firstLine="643" w:firstLineChars="200"/>
        <w:rPr>
          <w:rFonts w:ascii="楷体" w:hAnsi="楷体" w:eastAsia="楷体" w:cs="宋体"/>
          <w:b/>
          <w:bCs/>
          <w:color w:val="000000" w:themeColor="text1"/>
          <w:kern w:val="0"/>
          <w:sz w:val="32"/>
          <w:szCs w:val="32"/>
          <w14:textFill>
            <w14:solidFill>
              <w14:schemeClr w14:val="tx1"/>
            </w14:solidFill>
          </w14:textFill>
        </w:rPr>
      </w:pPr>
      <w:r>
        <w:rPr>
          <w:rFonts w:ascii="仿宋" w:hAnsi="仿宋" w:eastAsia="仿宋" w:cs="Arial"/>
          <w:b/>
          <w:bCs/>
          <w:color w:val="000000" w:themeColor="text1"/>
          <w:kern w:val="0"/>
          <w:sz w:val="32"/>
          <w:szCs w:val="32"/>
          <w14:textFill>
            <w14:solidFill>
              <w14:schemeClr w14:val="tx1"/>
            </w14:solidFill>
          </w14:textFill>
        </w:rPr>
        <w:t>2.5</w:t>
      </w:r>
      <w:r>
        <w:rPr>
          <w:rFonts w:hint="eastAsia" w:ascii="仿宋" w:hAnsi="仿宋" w:eastAsia="仿宋" w:cs="Arial"/>
          <w:b/>
          <w:bCs/>
          <w:color w:val="000000" w:themeColor="text1"/>
          <w:kern w:val="0"/>
          <w:sz w:val="32"/>
          <w:szCs w:val="32"/>
          <w14:textFill>
            <w14:solidFill>
              <w14:schemeClr w14:val="tx1"/>
            </w14:solidFill>
          </w14:textFill>
        </w:rPr>
        <w:t>施工图审查机构</w:t>
      </w:r>
    </w:p>
    <w:p>
      <w:pPr>
        <w:widowControl/>
        <w:shd w:val="clear" w:color="auto" w:fill="FFFFFF"/>
        <w:spacing w:line="320" w:lineRule="atLeas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2.5.1</w:t>
      </w:r>
      <w:r>
        <w:rPr>
          <w:rFonts w:hint="eastAsia" w:ascii="仿宋" w:hAnsi="仿宋" w:eastAsia="仿宋" w:cs="Arial"/>
          <w:color w:val="000000" w:themeColor="text1"/>
          <w:kern w:val="0"/>
          <w:sz w:val="32"/>
          <w:szCs w:val="32"/>
          <w14:textFill>
            <w14:solidFill>
              <w14:schemeClr w14:val="tx1"/>
            </w14:solidFill>
          </w14:textFill>
        </w:rPr>
        <w:t>审查程序、内容等应当符合《房屋建筑和市政基础设施工程施工图设计文件审查管理办法》规定。</w:t>
      </w:r>
    </w:p>
    <w:p>
      <w:pPr>
        <w:widowControl/>
        <w:shd w:val="clear" w:color="auto" w:fill="FFFFFF"/>
        <w:spacing w:line="320" w:lineRule="atLeas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w:t>
      </w:r>
      <w:r>
        <w:rPr>
          <w:rFonts w:hint="eastAsia" w:ascii="仿宋" w:hAnsi="仿宋" w:eastAsia="仿宋" w:cs="Arial"/>
          <w:color w:val="000000" w:themeColor="text1"/>
          <w:kern w:val="0"/>
          <w:sz w:val="32"/>
          <w:szCs w:val="32"/>
          <w14:textFill>
            <w14:solidFill>
              <w14:schemeClr w14:val="tx1"/>
            </w14:solidFill>
          </w14:textFill>
        </w:rPr>
        <w:t>.</w:t>
      </w:r>
      <w:r>
        <w:rPr>
          <w:rFonts w:ascii="仿宋" w:hAnsi="仿宋" w:eastAsia="仿宋" w:cs="Arial"/>
          <w:color w:val="000000" w:themeColor="text1"/>
          <w:kern w:val="0"/>
          <w:sz w:val="32"/>
          <w:szCs w:val="32"/>
          <w14:textFill>
            <w14:solidFill>
              <w14:schemeClr w14:val="tx1"/>
            </w14:solidFill>
          </w14:textFill>
        </w:rPr>
        <w:t>5</w:t>
      </w:r>
      <w:r>
        <w:rPr>
          <w:rFonts w:hint="eastAsia" w:ascii="仿宋" w:hAnsi="仿宋" w:eastAsia="仿宋" w:cs="Arial"/>
          <w:color w:val="000000" w:themeColor="text1"/>
          <w:kern w:val="0"/>
          <w:sz w:val="32"/>
          <w:szCs w:val="32"/>
          <w14:textFill>
            <w14:solidFill>
              <w14:schemeClr w14:val="tx1"/>
            </w14:solidFill>
          </w14:textFill>
        </w:rPr>
        <w:t>.</w:t>
      </w:r>
      <w:r>
        <w:rPr>
          <w:rFonts w:ascii="仿宋" w:hAnsi="仿宋" w:eastAsia="仿宋" w:cs="Arial"/>
          <w:color w:val="000000" w:themeColor="text1"/>
          <w:kern w:val="0"/>
          <w:sz w:val="32"/>
          <w:szCs w:val="32"/>
          <w14:textFill>
            <w14:solidFill>
              <w14:schemeClr w14:val="tx1"/>
            </w14:solidFill>
          </w14:textFill>
        </w:rPr>
        <w:t>2</w:t>
      </w:r>
      <w:r>
        <w:rPr>
          <w:rFonts w:hint="eastAsia" w:ascii="仿宋" w:hAnsi="仿宋" w:eastAsia="仿宋" w:cs="Arial"/>
          <w:color w:val="000000" w:themeColor="text1"/>
          <w:kern w:val="0"/>
          <w:sz w:val="32"/>
          <w:szCs w:val="32"/>
          <w14:textFill>
            <w14:solidFill>
              <w14:schemeClr w14:val="tx1"/>
            </w14:solidFill>
          </w14:textFill>
        </w:rPr>
        <w:t>应按照装配式建筑实施方案文本及专项审查意见书对施工图设计文件进行审查。</w:t>
      </w:r>
    </w:p>
    <w:p>
      <w:pPr>
        <w:widowControl/>
        <w:shd w:val="clear" w:color="auto" w:fill="FFFFFF"/>
        <w:spacing w:line="320" w:lineRule="atLeas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kern w:val="0"/>
          <w:sz w:val="32"/>
          <w:szCs w:val="32"/>
          <w14:textFill>
            <w14:solidFill>
              <w14:schemeClr w14:val="tx1"/>
            </w14:solidFill>
          </w14:textFill>
        </w:rPr>
        <w:t>2.5.3</w:t>
      </w:r>
      <w:r>
        <w:rPr>
          <w:rFonts w:hint="eastAsia" w:ascii="仿宋" w:hAnsi="仿宋" w:eastAsia="仿宋" w:cs="Arial"/>
          <w:color w:val="000000" w:themeColor="text1"/>
          <w:kern w:val="0"/>
          <w:sz w:val="32"/>
          <w:szCs w:val="32"/>
          <w14:textFill>
            <w14:solidFill>
              <w14:schemeClr w14:val="tx1"/>
            </w14:solidFill>
          </w14:textFill>
        </w:rPr>
        <w:t>应当对装配式建筑的结构构件拆分及节点连接设计、装饰装修及机电安装预留预埋设计等涉及结构安全、防水等主要使用功能的关键环节进行重点审查。当施工图设计文件有涉及与结构安全、预制率、装配率、使用功能等发生重大变更时，必须重新进行审核。</w:t>
      </w:r>
    </w:p>
    <w:p>
      <w:pPr>
        <w:spacing w:before="100" w:beforeAutospacing="1" w:after="100" w:afterAutospacing="1"/>
        <w:jc w:val="center"/>
        <w:rPr>
          <w:rFonts w:ascii="仿宋" w:hAnsi="仿宋" w:eastAsia="仿宋" w:cs="宋体"/>
          <w:b/>
          <w:bCs/>
          <w:color w:val="000000" w:themeColor="text1"/>
          <w:kern w:val="0"/>
          <w:sz w:val="32"/>
          <w:szCs w:val="32"/>
          <w14:textFill>
            <w14:solidFill>
              <w14:schemeClr w14:val="tx1"/>
            </w14:solidFill>
          </w14:textFill>
        </w:rPr>
      </w:pPr>
      <w:r>
        <w:rPr>
          <w:rFonts w:ascii="仿宋" w:hAnsi="仿宋" w:eastAsia="仿宋" w:cs="宋体"/>
          <w:b/>
          <w:bCs/>
          <w:color w:val="000000" w:themeColor="text1"/>
          <w:kern w:val="0"/>
          <w:sz w:val="32"/>
          <w:szCs w:val="32"/>
          <w14:textFill>
            <w14:solidFill>
              <w14:schemeClr w14:val="tx1"/>
            </w14:solidFill>
          </w14:textFill>
        </w:rPr>
        <w:t xml:space="preserve">3 </w:t>
      </w:r>
      <w:r>
        <w:rPr>
          <w:rFonts w:hint="eastAsia" w:ascii="仿宋" w:hAnsi="仿宋" w:eastAsia="仿宋" w:cs="宋体"/>
          <w:b/>
          <w:bCs/>
          <w:color w:val="000000" w:themeColor="text1"/>
          <w:kern w:val="0"/>
          <w:sz w:val="32"/>
          <w:szCs w:val="32"/>
          <w14:textFill>
            <w14:solidFill>
              <w14:schemeClr w14:val="tx1"/>
            </w14:solidFill>
          </w14:textFill>
        </w:rPr>
        <w:t>质量监督</w:t>
      </w:r>
    </w:p>
    <w:p>
      <w:pPr>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r>
        <w:rPr>
          <w:rFonts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w:t>
      </w:r>
      <w:r>
        <w:rPr>
          <w:rFonts w:ascii="仿宋" w:hAnsi="仿宋" w:eastAsia="仿宋" w:cs="Arial"/>
          <w:color w:val="000000" w:themeColor="text1"/>
          <w:sz w:val="32"/>
          <w:szCs w:val="32"/>
          <w:shd w:val="clear" w:color="auto" w:fill="FFFFFF"/>
          <w14:textFill>
            <w14:solidFill>
              <w14:schemeClr w14:val="tx1"/>
            </w14:solidFill>
          </w14:textFill>
        </w:rPr>
        <w:t>1</w:t>
      </w:r>
      <w:r>
        <w:rPr>
          <w:rFonts w:hint="eastAsia" w:ascii="仿宋" w:hAnsi="仿宋" w:eastAsia="仿宋" w:cs="Arial"/>
          <w:color w:val="000000" w:themeColor="text1"/>
          <w:sz w:val="32"/>
          <w:szCs w:val="32"/>
          <w:shd w:val="clear" w:color="auto" w:fill="FFFFFF"/>
          <w14:textFill>
            <w14:solidFill>
              <w14:schemeClr w14:val="tx1"/>
            </w14:solidFill>
          </w14:textFill>
        </w:rPr>
        <w:t xml:space="preserve"> 质量监督机构应严格按照监督工作要求，对装配式建筑实施监督管理，包括下列工作内容：</w:t>
      </w:r>
    </w:p>
    <w:p>
      <w:pPr>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r>
        <w:rPr>
          <w:rFonts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w:t>
      </w:r>
      <w:r>
        <w:rPr>
          <w:rFonts w:ascii="仿宋" w:hAnsi="仿宋" w:eastAsia="仿宋" w:cs="Arial"/>
          <w:color w:val="000000" w:themeColor="text1"/>
          <w:sz w:val="32"/>
          <w:szCs w:val="32"/>
          <w:shd w:val="clear" w:color="auto" w:fill="FFFFFF"/>
          <w14:textFill>
            <w14:solidFill>
              <w14:schemeClr w14:val="tx1"/>
            </w14:solidFill>
          </w14:textFill>
        </w:rPr>
        <w:t>1</w:t>
      </w:r>
      <w:r>
        <w:rPr>
          <w:rFonts w:hint="eastAsia" w:ascii="仿宋" w:hAnsi="仿宋" w:eastAsia="仿宋" w:cs="Arial"/>
          <w:color w:val="000000" w:themeColor="text1"/>
          <w:sz w:val="32"/>
          <w:szCs w:val="32"/>
          <w:shd w:val="clear" w:color="auto" w:fill="FFFFFF"/>
          <w14:textFill>
            <w14:solidFill>
              <w14:schemeClr w14:val="tx1"/>
            </w14:solidFill>
          </w14:textFill>
        </w:rPr>
        <w:t>.1 编制装配式建筑监督工作计划，进行监督工作交底；</w:t>
      </w:r>
    </w:p>
    <w:p>
      <w:pPr>
        <w:ind w:firstLine="640" w:firstLineChars="200"/>
        <w:rPr>
          <w:rFonts w:hint="eastAsia" w:ascii="仿宋" w:hAnsi="仿宋" w:eastAsia="仿宋" w:cs="Arial"/>
          <w:color w:val="000000" w:themeColor="text1"/>
          <w:sz w:val="32"/>
          <w:szCs w:val="32"/>
          <w:shd w:val="clear" w:color="auto" w:fill="FFFFFF"/>
          <w14:textFill>
            <w14:solidFill>
              <w14:schemeClr w14:val="tx1"/>
            </w14:solidFill>
          </w14:textFill>
        </w:rPr>
      </w:pPr>
      <w:r>
        <w:rPr>
          <w:rFonts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w:t>
      </w:r>
      <w:r>
        <w:rPr>
          <w:rFonts w:ascii="仿宋" w:hAnsi="仿宋" w:eastAsia="仿宋" w:cs="Arial"/>
          <w:color w:val="000000" w:themeColor="text1"/>
          <w:sz w:val="32"/>
          <w:szCs w:val="32"/>
          <w:shd w:val="clear" w:color="auto" w:fill="FFFFFF"/>
          <w14:textFill>
            <w14:solidFill>
              <w14:schemeClr w14:val="tx1"/>
            </w14:solidFill>
          </w14:textFill>
        </w:rPr>
        <w:t>1</w:t>
      </w:r>
      <w:r>
        <w:rPr>
          <w:rFonts w:hint="eastAsia" w:ascii="仿宋" w:hAnsi="仿宋" w:eastAsia="仿宋" w:cs="Arial"/>
          <w:color w:val="000000" w:themeColor="text1"/>
          <w:sz w:val="32"/>
          <w:szCs w:val="32"/>
          <w:shd w:val="clear" w:color="auto" w:fill="FFFFFF"/>
          <w14:textFill>
            <w14:solidFill>
              <w14:schemeClr w14:val="tx1"/>
            </w14:solidFill>
          </w14:textFill>
        </w:rPr>
        <w:t>.2 抽查勘察、设计、建设、施工、监理及质量检测机构等质量责任主体的质量行为，督促各方履行质量责任；</w:t>
      </w:r>
    </w:p>
    <w:p>
      <w:pPr>
        <w:ind w:firstLine="640" w:firstLineChars="200"/>
        <w:rPr>
          <w:rFonts w:hint="eastAsia" w:ascii="仿宋" w:hAnsi="仿宋" w:eastAsia="仿宋" w:cs="Arial"/>
          <w:color w:val="000000" w:themeColor="text1"/>
          <w:sz w:val="32"/>
          <w:szCs w:val="32"/>
          <w:shd w:val="clear" w:color="auto" w:fill="FFFFFF"/>
          <w14:textFill>
            <w14:solidFill>
              <w14:schemeClr w14:val="tx1"/>
            </w14:solidFill>
          </w14:textFill>
        </w:rPr>
      </w:pPr>
      <w:r>
        <w:rPr>
          <w:rFonts w:hint="eastAsia"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.1</w:t>
      </w:r>
      <w:r>
        <w:rPr>
          <w:rFonts w:hint="eastAsia" w:ascii="仿宋" w:hAnsi="仿宋" w:eastAsia="仿宋" w:cs="Arial"/>
          <w:color w:val="000000" w:themeColor="text1"/>
          <w:sz w:val="32"/>
          <w:szCs w:val="32"/>
          <w:shd w:val="clear" w:color="auto" w:fill="FFFFFF"/>
          <w14:textFill>
            <w14:solidFill>
              <w14:schemeClr w14:val="tx1"/>
            </w14:solidFill>
          </w14:textFill>
        </w:rPr>
        <w:t>.3 抽查进场预制构件的原材料、混凝土制备、制作成型过程、成品实物质量以及相关质量控制资料；</w:t>
      </w:r>
    </w:p>
    <w:p>
      <w:pPr>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r>
        <w:rPr>
          <w:rFonts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w:t>
      </w:r>
      <w:r>
        <w:rPr>
          <w:rFonts w:ascii="仿宋" w:hAnsi="仿宋" w:eastAsia="仿宋" w:cs="Arial"/>
          <w:color w:val="000000" w:themeColor="text1"/>
          <w:sz w:val="32"/>
          <w:szCs w:val="32"/>
          <w:shd w:val="clear" w:color="auto" w:fill="FFFFFF"/>
          <w14:textFill>
            <w14:solidFill>
              <w14:schemeClr w14:val="tx1"/>
            </w14:solidFill>
          </w14:textFill>
        </w:rPr>
        <w:t>1</w:t>
      </w:r>
      <w:r>
        <w:rPr>
          <w:rFonts w:hint="eastAsia" w:ascii="仿宋" w:hAnsi="仿宋" w:eastAsia="仿宋" w:cs="Arial"/>
          <w:color w:val="000000" w:themeColor="text1"/>
          <w:sz w:val="32"/>
          <w:szCs w:val="32"/>
          <w:shd w:val="clear" w:color="auto" w:fill="FFFFFF"/>
          <w14:textFill>
            <w14:solidFill>
              <w14:schemeClr w14:val="tx1"/>
            </w14:solidFill>
          </w14:textFill>
        </w:rPr>
        <w:t>.4 抽查涉及结构安全、建筑节能、主要使用功能的工程实体质量及质量控制资料；</w:t>
      </w:r>
    </w:p>
    <w:p>
      <w:pPr>
        <w:ind w:firstLine="640" w:firstLineChars="200"/>
        <w:rPr>
          <w:rFonts w:ascii="仿宋" w:hAnsi="仿宋" w:eastAsia="仿宋" w:cs="Arial"/>
          <w:color w:val="000000" w:themeColor="text1"/>
          <w:sz w:val="32"/>
          <w:szCs w:val="32"/>
          <w:shd w:val="clear" w:color="auto" w:fill="FFFFFF"/>
          <w14:textFill>
            <w14:solidFill>
              <w14:schemeClr w14:val="tx1"/>
            </w14:solidFill>
          </w14:textFill>
        </w:rPr>
      </w:pPr>
      <w:r>
        <w:rPr>
          <w:rFonts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w:t>
      </w:r>
      <w:r>
        <w:rPr>
          <w:rFonts w:ascii="仿宋" w:hAnsi="仿宋" w:eastAsia="仿宋" w:cs="Arial"/>
          <w:color w:val="000000" w:themeColor="text1"/>
          <w:sz w:val="32"/>
          <w:szCs w:val="32"/>
          <w:shd w:val="clear" w:color="auto" w:fill="FFFFFF"/>
          <w14:textFill>
            <w14:solidFill>
              <w14:schemeClr w14:val="tx1"/>
            </w14:solidFill>
          </w14:textFill>
        </w:rPr>
        <w:t>1</w:t>
      </w:r>
      <w:r>
        <w:rPr>
          <w:rFonts w:hint="eastAsia" w:ascii="仿宋" w:hAnsi="仿宋" w:eastAsia="仿宋" w:cs="Arial"/>
          <w:color w:val="000000" w:themeColor="text1"/>
          <w:sz w:val="32"/>
          <w:szCs w:val="32"/>
          <w:shd w:val="clear" w:color="auto" w:fill="FFFFFF"/>
          <w14:textFill>
            <w14:solidFill>
              <w14:schemeClr w14:val="tx1"/>
            </w14:solidFill>
          </w14:textFill>
        </w:rPr>
        <w:t>.5 对重要分部（子分部）工程质量验收及竣工验收进行监督，重点对验收组织形式、验收程序及执行验收标准是否符合有关规定和验收结论是否明确等进行监督，并形成监督记录。</w:t>
      </w:r>
    </w:p>
    <w:p>
      <w:pPr>
        <w:ind w:firstLine="640" w:firstLineChars="200"/>
        <w:rPr>
          <w:rFonts w:hint="eastAsia" w:ascii="仿宋" w:hAnsi="仿宋" w:eastAsia="仿宋" w:cs="Arial"/>
          <w:color w:val="000000" w:themeColor="text1"/>
          <w:sz w:val="32"/>
          <w:szCs w:val="32"/>
          <w:shd w:val="clear" w:color="auto" w:fill="FFFFFF"/>
          <w14:textFill>
            <w14:solidFill>
              <w14:schemeClr w14:val="tx1"/>
            </w14:solidFill>
          </w14:textFill>
        </w:rPr>
      </w:pPr>
      <w:r>
        <w:rPr>
          <w:rFonts w:hint="eastAsia"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.2</w:t>
      </w:r>
      <w:r>
        <w:rPr>
          <w:rFonts w:hint="eastAsia" w:ascii="仿宋" w:hAnsi="仿宋" w:eastAsia="仿宋" w:cs="Arial"/>
          <w:color w:val="000000" w:themeColor="text1"/>
          <w:sz w:val="32"/>
          <w:szCs w:val="32"/>
          <w:shd w:val="clear" w:color="auto" w:fill="FFFFFF"/>
          <w14:textFill>
            <w14:solidFill>
              <w14:schemeClr w14:val="tx1"/>
            </w14:solidFill>
          </w14:textFill>
        </w:rPr>
        <w:t>质量监督机构对所监管的装配式建筑的监督抽查，应当重点抽查构件安装与连接、预制构件与现浇结构连接、防水处理、外墙密封胶、钢筋连接灌浆作业、钢结构节点、焊缝、防腐、防火</w:t>
      </w:r>
      <w:r>
        <w:rPr>
          <w:rFonts w:hint="eastAsia" w:ascii="仿宋" w:hAnsi="仿宋" w:eastAsia="仿宋" w:cs="Arial"/>
          <w:color w:val="000000" w:themeColor="text1"/>
          <w:sz w:val="32"/>
          <w:szCs w:val="32"/>
          <w:shd w:val="clear" w:color="auto" w:fill="FFFFFF"/>
          <w14:textFill>
            <w14:solidFill>
              <w14:schemeClr w14:val="tx1"/>
            </w14:solidFill>
          </w14:textFill>
        </w:rPr>
        <w:t>等部位或环节以及其文档记录资料、影像记录资料</w:t>
      </w:r>
      <w:r>
        <w:rPr>
          <w:rFonts w:hint="eastAsia" w:ascii="仿宋" w:hAnsi="仿宋" w:eastAsia="仿宋" w:cs="Arial"/>
          <w:color w:val="000000" w:themeColor="text1"/>
          <w:sz w:val="32"/>
          <w:szCs w:val="32"/>
          <w:shd w:val="clear" w:color="auto" w:fill="FFFFFF"/>
          <w14:textFill>
            <w14:solidFill>
              <w14:schemeClr w14:val="tx1"/>
            </w14:solidFill>
          </w14:textFill>
        </w:rPr>
        <w:t>。对需要进行监督抽测的建筑材料和施工现场预制构件等项目，可以委托有资质的质量检测机构进行抽样检测。</w:t>
      </w:r>
    </w:p>
    <w:p>
      <w:pPr>
        <w:widowControl/>
        <w:shd w:val="clear" w:color="auto" w:fill="FFFFFF"/>
        <w:spacing w:line="320" w:lineRule="atLeast"/>
        <w:ind w:firstLine="640" w:firstLineChars="200"/>
        <w:rPr>
          <w:rFonts w:ascii="仿宋" w:hAnsi="仿宋" w:eastAsia="仿宋" w:cs="Arial"/>
          <w:color w:val="000000" w:themeColor="text1"/>
          <w:kern w:val="0"/>
          <w:sz w:val="32"/>
          <w:szCs w:val="32"/>
          <w14:textFill>
            <w14:solidFill>
              <w14:schemeClr w14:val="tx1"/>
            </w14:solidFill>
          </w14:textFill>
        </w:rPr>
      </w:pPr>
      <w:r>
        <w:rPr>
          <w:rFonts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w:t>
      </w:r>
      <w:r>
        <w:rPr>
          <w:rFonts w:ascii="仿宋" w:hAnsi="仿宋" w:eastAsia="仿宋" w:cs="Arial"/>
          <w:color w:val="000000" w:themeColor="text1"/>
          <w:sz w:val="32"/>
          <w:szCs w:val="32"/>
          <w:shd w:val="clear" w:color="auto" w:fill="FFFFFF"/>
          <w14:textFill>
            <w14:solidFill>
              <w14:schemeClr w14:val="tx1"/>
            </w14:solidFill>
          </w14:textFill>
        </w:rPr>
        <w:t>3</w:t>
      </w:r>
      <w:r>
        <w:rPr>
          <w:rFonts w:hint="eastAsia" w:ascii="仿宋" w:hAnsi="仿宋" w:eastAsia="仿宋" w:cs="Arial"/>
          <w:color w:val="000000" w:themeColor="text1"/>
          <w:sz w:val="32"/>
          <w:szCs w:val="32"/>
          <w:shd w:val="clear" w:color="auto" w:fill="FFFFFF"/>
          <w14:textFill>
            <w14:solidFill>
              <w14:schemeClr w14:val="tx1"/>
            </w14:solidFill>
          </w14:textFill>
        </w:rPr>
        <w:t xml:space="preserve"> 质量监督机构发现在方案编制审批、预制构件生产制作、预制构件在项目现场堆放、运输及吊装、节点连接、防水施工等关键环节中存在问题时，应责令改正。</w:t>
      </w:r>
    </w:p>
    <w:p>
      <w:pPr>
        <w:ind w:firstLine="3213" w:firstLineChars="1000"/>
        <w:jc w:val="left"/>
        <w:rPr>
          <w:rFonts w:ascii="仿宋" w:hAnsi="仿宋" w:eastAsia="仿宋" w:cs="Arial"/>
          <w:b/>
          <w:bCs/>
          <w:color w:val="000000" w:themeColor="text1"/>
          <w:sz w:val="32"/>
          <w:szCs w:val="32"/>
          <w:shd w:val="clear" w:color="auto" w:fill="FFFFFF"/>
          <w14:textFill>
            <w14:solidFill>
              <w14:schemeClr w14:val="tx1"/>
            </w14:solidFill>
          </w14:textFill>
        </w:rPr>
      </w:pPr>
    </w:p>
    <w:p>
      <w:pPr>
        <w:ind w:firstLine="3213" w:firstLineChars="1000"/>
        <w:jc w:val="left"/>
        <w:rPr>
          <w:rFonts w:ascii="仿宋" w:hAnsi="仿宋" w:eastAsia="仿宋" w:cs="Arial"/>
          <w:b/>
          <w:bCs/>
          <w:color w:val="000000" w:themeColor="text1"/>
          <w:sz w:val="32"/>
          <w:szCs w:val="32"/>
          <w:shd w:val="clear" w:color="auto" w:fill="FFFFFF"/>
          <w14:textFill>
            <w14:solidFill>
              <w14:schemeClr w14:val="tx1"/>
            </w14:solidFill>
          </w14:textFill>
        </w:rPr>
      </w:pPr>
    </w:p>
    <w:p>
      <w:pPr>
        <w:ind w:firstLine="3213" w:firstLineChars="1000"/>
        <w:jc w:val="left"/>
        <w:rPr>
          <w:rFonts w:ascii="仿宋" w:hAnsi="仿宋" w:eastAsia="仿宋" w:cs="Arial"/>
          <w:b/>
          <w:bCs/>
          <w:color w:val="000000" w:themeColor="text1"/>
          <w:sz w:val="32"/>
          <w:szCs w:val="32"/>
          <w:shd w:val="clear" w:color="auto" w:fill="FFFFFF"/>
          <w14:textFill>
            <w14:solidFill>
              <w14:schemeClr w14:val="tx1"/>
            </w14:solidFill>
          </w14:textFill>
        </w:rPr>
      </w:pPr>
      <w:r>
        <w:rPr>
          <w:rFonts w:ascii="仿宋" w:hAnsi="仿宋" w:eastAsia="仿宋" w:cs="Arial"/>
          <w:b/>
          <w:bCs/>
          <w:color w:val="000000" w:themeColor="text1"/>
          <w:sz w:val="32"/>
          <w:szCs w:val="32"/>
          <w:shd w:val="clear" w:color="auto" w:fill="FFFFFF"/>
          <w14:textFill>
            <w14:solidFill>
              <w14:schemeClr w14:val="tx1"/>
            </w14:solidFill>
          </w14:textFill>
        </w:rPr>
        <w:t>4</w:t>
      </w:r>
      <w:r>
        <w:rPr>
          <w:rFonts w:hint="eastAsia" w:ascii="仿宋" w:hAnsi="仿宋" w:eastAsia="仿宋" w:cs="Arial"/>
          <w:b/>
          <w:bCs/>
          <w:color w:val="000000" w:themeColor="text1"/>
          <w:sz w:val="32"/>
          <w:szCs w:val="32"/>
          <w:shd w:val="clear" w:color="auto" w:fill="FFFFFF"/>
          <w14:textFill>
            <w14:solidFill>
              <w14:schemeClr w14:val="tx1"/>
            </w14:solidFill>
          </w14:textFill>
        </w:rPr>
        <w:t xml:space="preserve">  附 则</w:t>
      </w:r>
    </w:p>
    <w:p>
      <w:pPr>
        <w:ind w:firstLine="640" w:firstLineChars="200"/>
        <w:rPr>
          <w:rFonts w:hint="eastAsia" w:ascii="仿宋" w:hAnsi="仿宋" w:eastAsia="仿宋" w:cs="Arial"/>
          <w:color w:val="000000" w:themeColor="text1"/>
          <w:sz w:val="32"/>
          <w:szCs w:val="32"/>
          <w:shd w:val="clear" w:color="auto" w:fill="FFFFFF"/>
          <w14:textFill>
            <w14:solidFill>
              <w14:schemeClr w14:val="tx1"/>
            </w14:solidFill>
          </w14:textFill>
        </w:rPr>
      </w:pPr>
      <w:r>
        <w:rPr>
          <w:rFonts w:hint="eastAsia" w:ascii="仿宋" w:hAnsi="仿宋" w:eastAsia="仿宋" w:cs="Arial"/>
          <w:color w:val="000000" w:themeColor="text1"/>
          <w:sz w:val="32"/>
          <w:szCs w:val="32"/>
          <w:shd w:val="clear" w:color="auto" w:fill="FFFFFF"/>
          <w14:textFill>
            <w14:solidFill>
              <w14:schemeClr w14:val="tx1"/>
            </w14:solidFill>
          </w14:textFill>
        </w:rPr>
        <w:t>4</w:t>
      </w:r>
      <w:r>
        <w:rPr>
          <w:rFonts w:hint="eastAsia" w:ascii="仿宋" w:hAnsi="仿宋" w:eastAsia="仿宋" w:cs="Arial"/>
          <w:color w:val="000000" w:themeColor="text1"/>
          <w:sz w:val="32"/>
          <w:szCs w:val="32"/>
          <w:shd w:val="clear" w:color="auto" w:fill="FFFFFF"/>
          <w14:textFill>
            <w14:solidFill>
              <w14:schemeClr w14:val="tx1"/>
            </w14:solidFill>
          </w14:textFill>
        </w:rPr>
        <w:t>.1 装配式建筑施工质量监督除执行本要点外，尚应遵守国家、省现行有关法律法规和规范标准等的相关规定。</w:t>
      </w:r>
    </w:p>
    <w:p>
      <w:pPr>
        <w:ind w:firstLine="640" w:firstLineChars="200"/>
        <w:rPr>
          <w:rFonts w:hint="eastAsia" w:ascii="仿宋" w:hAnsi="仿宋" w:eastAsia="仿宋" w:cs="Arial"/>
          <w:color w:val="000000" w:themeColor="text1"/>
          <w:sz w:val="32"/>
          <w:szCs w:val="32"/>
          <w:shd w:val="clear" w:color="auto" w:fill="FFFFFF"/>
          <w14:textFill>
            <w14:solidFill>
              <w14:schemeClr w14:val="tx1"/>
            </w14:solidFill>
          </w14:textFill>
        </w:rPr>
      </w:pPr>
      <w:r>
        <w:rPr>
          <w:rFonts w:hint="eastAsia" w:ascii="仿宋" w:hAnsi="仿宋" w:eastAsia="仿宋" w:cs="Arial"/>
          <w:color w:val="000000" w:themeColor="text1"/>
          <w:sz w:val="32"/>
          <w:szCs w:val="32"/>
          <w:shd w:val="clear" w:color="auto" w:fill="FFFFFF"/>
          <w14:textFill>
            <w14:solidFill>
              <w14:schemeClr w14:val="tx1"/>
            </w14:solidFill>
          </w14:textFill>
        </w:rPr>
        <w:t>4</w:t>
      </w:r>
      <w:r>
        <w:rPr>
          <w:rFonts w:hint="eastAsia" w:ascii="仿宋" w:hAnsi="仿宋" w:eastAsia="仿宋" w:cs="Arial"/>
          <w:color w:val="000000" w:themeColor="text1"/>
          <w:sz w:val="32"/>
          <w:szCs w:val="32"/>
          <w:shd w:val="clear" w:color="auto" w:fill="FFFFFF"/>
          <w14:textFill>
            <w14:solidFill>
              <w14:schemeClr w14:val="tx1"/>
            </w14:solidFill>
          </w14:textFill>
        </w:rPr>
        <w:t>.2 本要点自发布之日起施行。</w:t>
      </w:r>
    </w:p>
    <w:p>
      <w:pPr>
        <w:widowControl/>
        <w:shd w:val="clear" w:color="auto" w:fill="FFFFFF"/>
        <w:spacing w:line="320" w:lineRule="atLeas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 xml:space="preserve"> </w:t>
      </w:r>
      <w:r>
        <w:rPr>
          <w:rFonts w:ascii="仿宋" w:hAnsi="仿宋" w:eastAsia="仿宋" w:cs="Arial"/>
          <w:color w:val="000000" w:themeColor="text1"/>
          <w:kern w:val="0"/>
          <w:sz w:val="32"/>
          <w:szCs w:val="32"/>
          <w14:textFill>
            <w14:solidFill>
              <w14:schemeClr w14:val="tx1"/>
            </w14:solidFill>
          </w14:textFill>
        </w:rPr>
        <w:t xml:space="preserve">  </w:t>
      </w:r>
    </w:p>
    <w:p>
      <w:pPr>
        <w:spacing w:line="620" w:lineRule="exact"/>
        <w:ind w:firstLine="640" w:firstLineChars="200"/>
        <w:jc w:val="center"/>
        <w:rPr>
          <w:rFonts w:ascii="仿宋" w:hAnsi="仿宋" w:eastAsia="仿宋"/>
          <w:color w:val="000000" w:themeColor="text1"/>
          <w:sz w:val="32"/>
          <w:szCs w:val="32"/>
          <w14:textFill>
            <w14:solidFill>
              <w14:schemeClr w14:val="tx1"/>
            </w14:solidFill>
          </w14:textFill>
        </w:rPr>
      </w:pPr>
    </w:p>
    <w:p>
      <w:pPr>
        <w:spacing w:line="620" w:lineRule="exact"/>
        <w:ind w:firstLine="640" w:firstLineChars="200"/>
        <w:jc w:val="center"/>
        <w:rPr>
          <w:rFonts w:ascii="仿宋" w:hAnsi="仿宋" w:eastAsia="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866174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54"/>
    <w:rsid w:val="00001C22"/>
    <w:rsid w:val="00003B5C"/>
    <w:rsid w:val="0000549F"/>
    <w:rsid w:val="000071A5"/>
    <w:rsid w:val="000159A4"/>
    <w:rsid w:val="00017339"/>
    <w:rsid w:val="00021EFF"/>
    <w:rsid w:val="00026409"/>
    <w:rsid w:val="0002782A"/>
    <w:rsid w:val="00031990"/>
    <w:rsid w:val="00031F21"/>
    <w:rsid w:val="00035558"/>
    <w:rsid w:val="00043E01"/>
    <w:rsid w:val="00044CF2"/>
    <w:rsid w:val="0004638B"/>
    <w:rsid w:val="000501AA"/>
    <w:rsid w:val="000528AA"/>
    <w:rsid w:val="00053D63"/>
    <w:rsid w:val="000563F3"/>
    <w:rsid w:val="00056B34"/>
    <w:rsid w:val="0005792B"/>
    <w:rsid w:val="00057994"/>
    <w:rsid w:val="0006261C"/>
    <w:rsid w:val="000669A2"/>
    <w:rsid w:val="00066CE0"/>
    <w:rsid w:val="0006732F"/>
    <w:rsid w:val="000702CB"/>
    <w:rsid w:val="000816A5"/>
    <w:rsid w:val="0008296A"/>
    <w:rsid w:val="00082FFC"/>
    <w:rsid w:val="00083298"/>
    <w:rsid w:val="00084CA6"/>
    <w:rsid w:val="000862BC"/>
    <w:rsid w:val="00087509"/>
    <w:rsid w:val="00087769"/>
    <w:rsid w:val="000909BB"/>
    <w:rsid w:val="000A47AA"/>
    <w:rsid w:val="000A6491"/>
    <w:rsid w:val="000A670E"/>
    <w:rsid w:val="000B00A0"/>
    <w:rsid w:val="000B1A7D"/>
    <w:rsid w:val="000B20E2"/>
    <w:rsid w:val="000B2A8F"/>
    <w:rsid w:val="000C3C61"/>
    <w:rsid w:val="000C7D88"/>
    <w:rsid w:val="000D0593"/>
    <w:rsid w:val="000D0D50"/>
    <w:rsid w:val="000D2F47"/>
    <w:rsid w:val="000D565E"/>
    <w:rsid w:val="000E0E22"/>
    <w:rsid w:val="000E7471"/>
    <w:rsid w:val="000F5088"/>
    <w:rsid w:val="000F6758"/>
    <w:rsid w:val="00100237"/>
    <w:rsid w:val="00102996"/>
    <w:rsid w:val="00105968"/>
    <w:rsid w:val="00105B2A"/>
    <w:rsid w:val="00107652"/>
    <w:rsid w:val="001204A4"/>
    <w:rsid w:val="00122065"/>
    <w:rsid w:val="00123BA5"/>
    <w:rsid w:val="00123FAE"/>
    <w:rsid w:val="00125378"/>
    <w:rsid w:val="00125851"/>
    <w:rsid w:val="00125AFB"/>
    <w:rsid w:val="00127423"/>
    <w:rsid w:val="00131359"/>
    <w:rsid w:val="00131E7B"/>
    <w:rsid w:val="001338E1"/>
    <w:rsid w:val="00134420"/>
    <w:rsid w:val="00135C1F"/>
    <w:rsid w:val="00141619"/>
    <w:rsid w:val="00141DB1"/>
    <w:rsid w:val="00144653"/>
    <w:rsid w:val="00150D79"/>
    <w:rsid w:val="00151F4E"/>
    <w:rsid w:val="00154270"/>
    <w:rsid w:val="001544A2"/>
    <w:rsid w:val="00157AFB"/>
    <w:rsid w:val="00161FC1"/>
    <w:rsid w:val="00164BF6"/>
    <w:rsid w:val="001667B4"/>
    <w:rsid w:val="0017095A"/>
    <w:rsid w:val="00174FBD"/>
    <w:rsid w:val="00177768"/>
    <w:rsid w:val="00183750"/>
    <w:rsid w:val="00184AA1"/>
    <w:rsid w:val="00185034"/>
    <w:rsid w:val="0018553F"/>
    <w:rsid w:val="00186653"/>
    <w:rsid w:val="00192B08"/>
    <w:rsid w:val="001938DD"/>
    <w:rsid w:val="0019425C"/>
    <w:rsid w:val="00194BD6"/>
    <w:rsid w:val="00197653"/>
    <w:rsid w:val="001A53DF"/>
    <w:rsid w:val="001A6022"/>
    <w:rsid w:val="001A6251"/>
    <w:rsid w:val="001A7050"/>
    <w:rsid w:val="001A76FA"/>
    <w:rsid w:val="001B255D"/>
    <w:rsid w:val="001B3A69"/>
    <w:rsid w:val="001B4431"/>
    <w:rsid w:val="001C1ACC"/>
    <w:rsid w:val="001C5A7A"/>
    <w:rsid w:val="001D3429"/>
    <w:rsid w:val="001D388E"/>
    <w:rsid w:val="001E0A89"/>
    <w:rsid w:val="001E1C78"/>
    <w:rsid w:val="001E563E"/>
    <w:rsid w:val="001E6AAB"/>
    <w:rsid w:val="001F0D58"/>
    <w:rsid w:val="001F177E"/>
    <w:rsid w:val="001F532C"/>
    <w:rsid w:val="001F5B2B"/>
    <w:rsid w:val="001F7B33"/>
    <w:rsid w:val="002018DF"/>
    <w:rsid w:val="002112C4"/>
    <w:rsid w:val="002117C7"/>
    <w:rsid w:val="00212869"/>
    <w:rsid w:val="002132F5"/>
    <w:rsid w:val="00214D99"/>
    <w:rsid w:val="00216036"/>
    <w:rsid w:val="002164C5"/>
    <w:rsid w:val="002164EC"/>
    <w:rsid w:val="00221F3B"/>
    <w:rsid w:val="0022313F"/>
    <w:rsid w:val="002233D8"/>
    <w:rsid w:val="002246CA"/>
    <w:rsid w:val="00225F08"/>
    <w:rsid w:val="00227051"/>
    <w:rsid w:val="00231241"/>
    <w:rsid w:val="002345CA"/>
    <w:rsid w:val="002368D0"/>
    <w:rsid w:val="002462C7"/>
    <w:rsid w:val="00250928"/>
    <w:rsid w:val="00250F88"/>
    <w:rsid w:val="00252EDD"/>
    <w:rsid w:val="00253308"/>
    <w:rsid w:val="002562A2"/>
    <w:rsid w:val="00257B61"/>
    <w:rsid w:val="00261121"/>
    <w:rsid w:val="0026196C"/>
    <w:rsid w:val="00262E21"/>
    <w:rsid w:val="002653B2"/>
    <w:rsid w:val="00266946"/>
    <w:rsid w:val="00267BF5"/>
    <w:rsid w:val="00267D4D"/>
    <w:rsid w:val="00271414"/>
    <w:rsid w:val="00276691"/>
    <w:rsid w:val="002807D9"/>
    <w:rsid w:val="00282130"/>
    <w:rsid w:val="002864B3"/>
    <w:rsid w:val="00291E36"/>
    <w:rsid w:val="0029222F"/>
    <w:rsid w:val="0029381F"/>
    <w:rsid w:val="00293837"/>
    <w:rsid w:val="00296630"/>
    <w:rsid w:val="00297687"/>
    <w:rsid w:val="002A6CD0"/>
    <w:rsid w:val="002B5DFA"/>
    <w:rsid w:val="002B7792"/>
    <w:rsid w:val="002B7C2C"/>
    <w:rsid w:val="002C16C4"/>
    <w:rsid w:val="002C3859"/>
    <w:rsid w:val="002C393A"/>
    <w:rsid w:val="002C4BD7"/>
    <w:rsid w:val="002C6094"/>
    <w:rsid w:val="002D0D99"/>
    <w:rsid w:val="002D2AD2"/>
    <w:rsid w:val="002D40C0"/>
    <w:rsid w:val="002E1258"/>
    <w:rsid w:val="002E3435"/>
    <w:rsid w:val="002E7D10"/>
    <w:rsid w:val="002F4AA1"/>
    <w:rsid w:val="003003CE"/>
    <w:rsid w:val="00305702"/>
    <w:rsid w:val="00305FCD"/>
    <w:rsid w:val="0031015D"/>
    <w:rsid w:val="00312DDC"/>
    <w:rsid w:val="0031425A"/>
    <w:rsid w:val="00316567"/>
    <w:rsid w:val="00316F0B"/>
    <w:rsid w:val="00327B7C"/>
    <w:rsid w:val="00330224"/>
    <w:rsid w:val="003344A0"/>
    <w:rsid w:val="0033652C"/>
    <w:rsid w:val="0034492D"/>
    <w:rsid w:val="00344988"/>
    <w:rsid w:val="0034522D"/>
    <w:rsid w:val="003470D6"/>
    <w:rsid w:val="00350348"/>
    <w:rsid w:val="003533E7"/>
    <w:rsid w:val="00353D3F"/>
    <w:rsid w:val="0035456B"/>
    <w:rsid w:val="00355781"/>
    <w:rsid w:val="0035682D"/>
    <w:rsid w:val="00356FD3"/>
    <w:rsid w:val="00357265"/>
    <w:rsid w:val="00365A49"/>
    <w:rsid w:val="00365B95"/>
    <w:rsid w:val="0037485F"/>
    <w:rsid w:val="00380349"/>
    <w:rsid w:val="00383EA9"/>
    <w:rsid w:val="00386033"/>
    <w:rsid w:val="00387EE9"/>
    <w:rsid w:val="003916FC"/>
    <w:rsid w:val="003918C0"/>
    <w:rsid w:val="00394AD5"/>
    <w:rsid w:val="003A24CB"/>
    <w:rsid w:val="003B2B99"/>
    <w:rsid w:val="003C414F"/>
    <w:rsid w:val="003C4FBC"/>
    <w:rsid w:val="003C5642"/>
    <w:rsid w:val="003D34CE"/>
    <w:rsid w:val="003D41BE"/>
    <w:rsid w:val="003D571B"/>
    <w:rsid w:val="003E367B"/>
    <w:rsid w:val="003E5CA5"/>
    <w:rsid w:val="003E6A49"/>
    <w:rsid w:val="003E76EA"/>
    <w:rsid w:val="003F3837"/>
    <w:rsid w:val="003F5C55"/>
    <w:rsid w:val="003F76A9"/>
    <w:rsid w:val="0040259C"/>
    <w:rsid w:val="00403962"/>
    <w:rsid w:val="00403DAD"/>
    <w:rsid w:val="004045DB"/>
    <w:rsid w:val="0040731A"/>
    <w:rsid w:val="00412D80"/>
    <w:rsid w:val="00413E0C"/>
    <w:rsid w:val="00416345"/>
    <w:rsid w:val="00420E35"/>
    <w:rsid w:val="00424669"/>
    <w:rsid w:val="00424EDA"/>
    <w:rsid w:val="00425DB0"/>
    <w:rsid w:val="00427D43"/>
    <w:rsid w:val="00430A23"/>
    <w:rsid w:val="00433444"/>
    <w:rsid w:val="0043388E"/>
    <w:rsid w:val="0043583C"/>
    <w:rsid w:val="00440EF0"/>
    <w:rsid w:val="00446D11"/>
    <w:rsid w:val="00447CC1"/>
    <w:rsid w:val="00452269"/>
    <w:rsid w:val="004523BC"/>
    <w:rsid w:val="004527DA"/>
    <w:rsid w:val="004540EB"/>
    <w:rsid w:val="00455B65"/>
    <w:rsid w:val="004567C3"/>
    <w:rsid w:val="004615FB"/>
    <w:rsid w:val="0047174E"/>
    <w:rsid w:val="00472D81"/>
    <w:rsid w:val="004735FE"/>
    <w:rsid w:val="0047394D"/>
    <w:rsid w:val="004743AD"/>
    <w:rsid w:val="00475D1E"/>
    <w:rsid w:val="00481B95"/>
    <w:rsid w:val="00483E5F"/>
    <w:rsid w:val="004849CC"/>
    <w:rsid w:val="00486155"/>
    <w:rsid w:val="00486472"/>
    <w:rsid w:val="0049014F"/>
    <w:rsid w:val="00492F3E"/>
    <w:rsid w:val="0049404C"/>
    <w:rsid w:val="004A3B6F"/>
    <w:rsid w:val="004A4F4B"/>
    <w:rsid w:val="004B12F5"/>
    <w:rsid w:val="004B24D7"/>
    <w:rsid w:val="004B4673"/>
    <w:rsid w:val="004B532C"/>
    <w:rsid w:val="004B7248"/>
    <w:rsid w:val="004C0B2F"/>
    <w:rsid w:val="004C4A25"/>
    <w:rsid w:val="004C4D26"/>
    <w:rsid w:val="004C7560"/>
    <w:rsid w:val="004D2114"/>
    <w:rsid w:val="004D3FD7"/>
    <w:rsid w:val="004D4936"/>
    <w:rsid w:val="004D73E6"/>
    <w:rsid w:val="004E1897"/>
    <w:rsid w:val="004E22E4"/>
    <w:rsid w:val="004E2A3A"/>
    <w:rsid w:val="004E2C5B"/>
    <w:rsid w:val="004E2CE1"/>
    <w:rsid w:val="004E723A"/>
    <w:rsid w:val="004F18CC"/>
    <w:rsid w:val="004F2172"/>
    <w:rsid w:val="004F27D8"/>
    <w:rsid w:val="004F3248"/>
    <w:rsid w:val="004F6FF7"/>
    <w:rsid w:val="00504D8E"/>
    <w:rsid w:val="00505E22"/>
    <w:rsid w:val="005070D5"/>
    <w:rsid w:val="005148D6"/>
    <w:rsid w:val="0052638A"/>
    <w:rsid w:val="00527628"/>
    <w:rsid w:val="00531B85"/>
    <w:rsid w:val="005329E3"/>
    <w:rsid w:val="00533557"/>
    <w:rsid w:val="00537D7E"/>
    <w:rsid w:val="00542012"/>
    <w:rsid w:val="005428FD"/>
    <w:rsid w:val="00544411"/>
    <w:rsid w:val="0054698E"/>
    <w:rsid w:val="00547448"/>
    <w:rsid w:val="00550E8C"/>
    <w:rsid w:val="00551088"/>
    <w:rsid w:val="00555209"/>
    <w:rsid w:val="00556CF6"/>
    <w:rsid w:val="00557AD5"/>
    <w:rsid w:val="00564596"/>
    <w:rsid w:val="00565E9E"/>
    <w:rsid w:val="00566DF8"/>
    <w:rsid w:val="00566E42"/>
    <w:rsid w:val="0057300B"/>
    <w:rsid w:val="00573DD6"/>
    <w:rsid w:val="00576776"/>
    <w:rsid w:val="0057703A"/>
    <w:rsid w:val="00586D8C"/>
    <w:rsid w:val="005906DB"/>
    <w:rsid w:val="00590AD9"/>
    <w:rsid w:val="00592500"/>
    <w:rsid w:val="005A2CCF"/>
    <w:rsid w:val="005A5F26"/>
    <w:rsid w:val="005A790F"/>
    <w:rsid w:val="005B2100"/>
    <w:rsid w:val="005B285C"/>
    <w:rsid w:val="005B396C"/>
    <w:rsid w:val="005B56AE"/>
    <w:rsid w:val="005C0787"/>
    <w:rsid w:val="005D0A0F"/>
    <w:rsid w:val="005D14AC"/>
    <w:rsid w:val="005D3712"/>
    <w:rsid w:val="005D3CCC"/>
    <w:rsid w:val="005D3FA5"/>
    <w:rsid w:val="005D654A"/>
    <w:rsid w:val="005D77FE"/>
    <w:rsid w:val="005D7BB2"/>
    <w:rsid w:val="005E1430"/>
    <w:rsid w:val="005E27BE"/>
    <w:rsid w:val="005F7A4F"/>
    <w:rsid w:val="00605D1B"/>
    <w:rsid w:val="00606BF3"/>
    <w:rsid w:val="0061048A"/>
    <w:rsid w:val="006119B6"/>
    <w:rsid w:val="00611AD8"/>
    <w:rsid w:val="00611F6F"/>
    <w:rsid w:val="0061215C"/>
    <w:rsid w:val="006159D0"/>
    <w:rsid w:val="00622010"/>
    <w:rsid w:val="0063309C"/>
    <w:rsid w:val="0063446C"/>
    <w:rsid w:val="0063528C"/>
    <w:rsid w:val="006371AA"/>
    <w:rsid w:val="00640851"/>
    <w:rsid w:val="006458D8"/>
    <w:rsid w:val="00647BCC"/>
    <w:rsid w:val="006504D2"/>
    <w:rsid w:val="006504F2"/>
    <w:rsid w:val="00650A05"/>
    <w:rsid w:val="00652109"/>
    <w:rsid w:val="0065672A"/>
    <w:rsid w:val="006568CD"/>
    <w:rsid w:val="00656AFD"/>
    <w:rsid w:val="00661DAC"/>
    <w:rsid w:val="0066429D"/>
    <w:rsid w:val="006653D1"/>
    <w:rsid w:val="00665943"/>
    <w:rsid w:val="00673471"/>
    <w:rsid w:val="006749FB"/>
    <w:rsid w:val="00675412"/>
    <w:rsid w:val="0067555E"/>
    <w:rsid w:val="00677137"/>
    <w:rsid w:val="006777AA"/>
    <w:rsid w:val="00682558"/>
    <w:rsid w:val="00692FA3"/>
    <w:rsid w:val="0069700C"/>
    <w:rsid w:val="00697CE8"/>
    <w:rsid w:val="006A2614"/>
    <w:rsid w:val="006A687D"/>
    <w:rsid w:val="006A7E90"/>
    <w:rsid w:val="006B12C4"/>
    <w:rsid w:val="006B1A28"/>
    <w:rsid w:val="006C0BE5"/>
    <w:rsid w:val="006C58F6"/>
    <w:rsid w:val="006C666E"/>
    <w:rsid w:val="006D3A9B"/>
    <w:rsid w:val="006E0C23"/>
    <w:rsid w:val="006E0DEE"/>
    <w:rsid w:val="006E499A"/>
    <w:rsid w:val="006E66DF"/>
    <w:rsid w:val="006E73E6"/>
    <w:rsid w:val="006F0DF1"/>
    <w:rsid w:val="006F102F"/>
    <w:rsid w:val="006F14C8"/>
    <w:rsid w:val="006F3A42"/>
    <w:rsid w:val="006F4BF9"/>
    <w:rsid w:val="006F565C"/>
    <w:rsid w:val="006F5A3C"/>
    <w:rsid w:val="00700284"/>
    <w:rsid w:val="007041A4"/>
    <w:rsid w:val="0070421A"/>
    <w:rsid w:val="007056CA"/>
    <w:rsid w:val="0070630D"/>
    <w:rsid w:val="0070721E"/>
    <w:rsid w:val="007102EA"/>
    <w:rsid w:val="007107BC"/>
    <w:rsid w:val="0071335F"/>
    <w:rsid w:val="00713BC1"/>
    <w:rsid w:val="00713FCC"/>
    <w:rsid w:val="00713FEB"/>
    <w:rsid w:val="00716BAB"/>
    <w:rsid w:val="00723E1B"/>
    <w:rsid w:val="00730432"/>
    <w:rsid w:val="00730F46"/>
    <w:rsid w:val="00731D0D"/>
    <w:rsid w:val="007325DC"/>
    <w:rsid w:val="00736A6F"/>
    <w:rsid w:val="0073726E"/>
    <w:rsid w:val="00744E71"/>
    <w:rsid w:val="007514B4"/>
    <w:rsid w:val="00753FEE"/>
    <w:rsid w:val="00755160"/>
    <w:rsid w:val="00756076"/>
    <w:rsid w:val="007561E9"/>
    <w:rsid w:val="00761000"/>
    <w:rsid w:val="007644E7"/>
    <w:rsid w:val="0076463F"/>
    <w:rsid w:val="007653F8"/>
    <w:rsid w:val="007710A6"/>
    <w:rsid w:val="0077393C"/>
    <w:rsid w:val="00780CB9"/>
    <w:rsid w:val="0078154A"/>
    <w:rsid w:val="0078201B"/>
    <w:rsid w:val="0078202C"/>
    <w:rsid w:val="00782FBD"/>
    <w:rsid w:val="00786F43"/>
    <w:rsid w:val="00791B70"/>
    <w:rsid w:val="00797AEA"/>
    <w:rsid w:val="007A1C54"/>
    <w:rsid w:val="007A3A26"/>
    <w:rsid w:val="007A3D73"/>
    <w:rsid w:val="007A4BE6"/>
    <w:rsid w:val="007A4DE2"/>
    <w:rsid w:val="007A5C5E"/>
    <w:rsid w:val="007A6720"/>
    <w:rsid w:val="007B7D4B"/>
    <w:rsid w:val="007C02E0"/>
    <w:rsid w:val="007C12B9"/>
    <w:rsid w:val="007C1783"/>
    <w:rsid w:val="007C471E"/>
    <w:rsid w:val="007C4993"/>
    <w:rsid w:val="007C658C"/>
    <w:rsid w:val="007D1820"/>
    <w:rsid w:val="007D223E"/>
    <w:rsid w:val="007D392E"/>
    <w:rsid w:val="007D5A75"/>
    <w:rsid w:val="007E1D03"/>
    <w:rsid w:val="007E4955"/>
    <w:rsid w:val="007E5D5A"/>
    <w:rsid w:val="007E5D8E"/>
    <w:rsid w:val="007F2C1D"/>
    <w:rsid w:val="007F362D"/>
    <w:rsid w:val="007F5C5B"/>
    <w:rsid w:val="007F63BE"/>
    <w:rsid w:val="007F6B27"/>
    <w:rsid w:val="0080653E"/>
    <w:rsid w:val="0080691D"/>
    <w:rsid w:val="00807499"/>
    <w:rsid w:val="008078FD"/>
    <w:rsid w:val="0081302E"/>
    <w:rsid w:val="0081474F"/>
    <w:rsid w:val="00821A0C"/>
    <w:rsid w:val="00825315"/>
    <w:rsid w:val="008266E9"/>
    <w:rsid w:val="00831109"/>
    <w:rsid w:val="00832718"/>
    <w:rsid w:val="00833CBD"/>
    <w:rsid w:val="00837D9E"/>
    <w:rsid w:val="00840839"/>
    <w:rsid w:val="00841788"/>
    <w:rsid w:val="00841D53"/>
    <w:rsid w:val="0084260E"/>
    <w:rsid w:val="00843C45"/>
    <w:rsid w:val="008467CC"/>
    <w:rsid w:val="00847178"/>
    <w:rsid w:val="0084735F"/>
    <w:rsid w:val="00850DC0"/>
    <w:rsid w:val="00851AFE"/>
    <w:rsid w:val="0085458E"/>
    <w:rsid w:val="0085538F"/>
    <w:rsid w:val="00857B3D"/>
    <w:rsid w:val="00861FAD"/>
    <w:rsid w:val="008626CE"/>
    <w:rsid w:val="00864781"/>
    <w:rsid w:val="00864A24"/>
    <w:rsid w:val="00866D9F"/>
    <w:rsid w:val="0087217C"/>
    <w:rsid w:val="00877AEF"/>
    <w:rsid w:val="00881406"/>
    <w:rsid w:val="0088186C"/>
    <w:rsid w:val="008821EE"/>
    <w:rsid w:val="0088425F"/>
    <w:rsid w:val="00886628"/>
    <w:rsid w:val="00887EFD"/>
    <w:rsid w:val="008A02A1"/>
    <w:rsid w:val="008A1F3C"/>
    <w:rsid w:val="008A27DF"/>
    <w:rsid w:val="008A3766"/>
    <w:rsid w:val="008A3D00"/>
    <w:rsid w:val="008B0905"/>
    <w:rsid w:val="008B49D2"/>
    <w:rsid w:val="008B50CE"/>
    <w:rsid w:val="008B6A3B"/>
    <w:rsid w:val="008C0034"/>
    <w:rsid w:val="008C0FFE"/>
    <w:rsid w:val="008C5F8A"/>
    <w:rsid w:val="008C7688"/>
    <w:rsid w:val="008D115B"/>
    <w:rsid w:val="008D11D1"/>
    <w:rsid w:val="008D4F68"/>
    <w:rsid w:val="008D5BEE"/>
    <w:rsid w:val="008E06F8"/>
    <w:rsid w:val="008E464E"/>
    <w:rsid w:val="008E62BB"/>
    <w:rsid w:val="008E6B53"/>
    <w:rsid w:val="008E798B"/>
    <w:rsid w:val="009000E6"/>
    <w:rsid w:val="00900EE1"/>
    <w:rsid w:val="00912584"/>
    <w:rsid w:val="009151B1"/>
    <w:rsid w:val="009174EA"/>
    <w:rsid w:val="0092027C"/>
    <w:rsid w:val="00920A6B"/>
    <w:rsid w:val="00922A17"/>
    <w:rsid w:val="00923420"/>
    <w:rsid w:val="00924E10"/>
    <w:rsid w:val="0092658E"/>
    <w:rsid w:val="0092678A"/>
    <w:rsid w:val="00926D1A"/>
    <w:rsid w:val="009274C3"/>
    <w:rsid w:val="009338B8"/>
    <w:rsid w:val="00933F60"/>
    <w:rsid w:val="00937BA5"/>
    <w:rsid w:val="009419C6"/>
    <w:rsid w:val="00941CB9"/>
    <w:rsid w:val="00942091"/>
    <w:rsid w:val="009428C7"/>
    <w:rsid w:val="00943AC7"/>
    <w:rsid w:val="0094439F"/>
    <w:rsid w:val="00945C32"/>
    <w:rsid w:val="00952592"/>
    <w:rsid w:val="00961261"/>
    <w:rsid w:val="0096147F"/>
    <w:rsid w:val="009666C9"/>
    <w:rsid w:val="0097073A"/>
    <w:rsid w:val="009728A4"/>
    <w:rsid w:val="009728C6"/>
    <w:rsid w:val="00973906"/>
    <w:rsid w:val="0097412F"/>
    <w:rsid w:val="00975944"/>
    <w:rsid w:val="0098241D"/>
    <w:rsid w:val="00984DB1"/>
    <w:rsid w:val="009868A6"/>
    <w:rsid w:val="00987D65"/>
    <w:rsid w:val="009A3366"/>
    <w:rsid w:val="009A4025"/>
    <w:rsid w:val="009A7002"/>
    <w:rsid w:val="009A7F5F"/>
    <w:rsid w:val="009B004A"/>
    <w:rsid w:val="009B2CCF"/>
    <w:rsid w:val="009C32AE"/>
    <w:rsid w:val="009C38EA"/>
    <w:rsid w:val="009C4494"/>
    <w:rsid w:val="009D4F39"/>
    <w:rsid w:val="009D6833"/>
    <w:rsid w:val="009E0BAD"/>
    <w:rsid w:val="009E75A4"/>
    <w:rsid w:val="009E7B0C"/>
    <w:rsid w:val="009F2B77"/>
    <w:rsid w:val="009F2D46"/>
    <w:rsid w:val="009F38EF"/>
    <w:rsid w:val="009F53DB"/>
    <w:rsid w:val="009F550A"/>
    <w:rsid w:val="00A01D5E"/>
    <w:rsid w:val="00A05C7F"/>
    <w:rsid w:val="00A12D01"/>
    <w:rsid w:val="00A13FFF"/>
    <w:rsid w:val="00A15B49"/>
    <w:rsid w:val="00A17E68"/>
    <w:rsid w:val="00A20C6F"/>
    <w:rsid w:val="00A22EAC"/>
    <w:rsid w:val="00A26AAB"/>
    <w:rsid w:val="00A277F7"/>
    <w:rsid w:val="00A32A68"/>
    <w:rsid w:val="00A3401F"/>
    <w:rsid w:val="00A3467A"/>
    <w:rsid w:val="00A351D8"/>
    <w:rsid w:val="00A370DC"/>
    <w:rsid w:val="00A376A6"/>
    <w:rsid w:val="00A37950"/>
    <w:rsid w:val="00A544CF"/>
    <w:rsid w:val="00A55F4F"/>
    <w:rsid w:val="00A622D7"/>
    <w:rsid w:val="00A656EA"/>
    <w:rsid w:val="00A66ACA"/>
    <w:rsid w:val="00A76598"/>
    <w:rsid w:val="00A77132"/>
    <w:rsid w:val="00A86901"/>
    <w:rsid w:val="00A93740"/>
    <w:rsid w:val="00A93E7F"/>
    <w:rsid w:val="00A97128"/>
    <w:rsid w:val="00AA1DC8"/>
    <w:rsid w:val="00AA32B7"/>
    <w:rsid w:val="00AA5787"/>
    <w:rsid w:val="00AB0E6F"/>
    <w:rsid w:val="00AB1160"/>
    <w:rsid w:val="00AB5945"/>
    <w:rsid w:val="00AB69F2"/>
    <w:rsid w:val="00AC054E"/>
    <w:rsid w:val="00AC320C"/>
    <w:rsid w:val="00AC681F"/>
    <w:rsid w:val="00AD0DC4"/>
    <w:rsid w:val="00AD13D4"/>
    <w:rsid w:val="00AD160D"/>
    <w:rsid w:val="00AD18E6"/>
    <w:rsid w:val="00AD4599"/>
    <w:rsid w:val="00AD68D8"/>
    <w:rsid w:val="00AD740C"/>
    <w:rsid w:val="00AE271A"/>
    <w:rsid w:val="00AF421E"/>
    <w:rsid w:val="00AF54F5"/>
    <w:rsid w:val="00B053BD"/>
    <w:rsid w:val="00B053D8"/>
    <w:rsid w:val="00B064E8"/>
    <w:rsid w:val="00B116E0"/>
    <w:rsid w:val="00B1324A"/>
    <w:rsid w:val="00B1513A"/>
    <w:rsid w:val="00B20187"/>
    <w:rsid w:val="00B2072B"/>
    <w:rsid w:val="00B2484A"/>
    <w:rsid w:val="00B2530A"/>
    <w:rsid w:val="00B30464"/>
    <w:rsid w:val="00B3148A"/>
    <w:rsid w:val="00B318F6"/>
    <w:rsid w:val="00B33358"/>
    <w:rsid w:val="00B34532"/>
    <w:rsid w:val="00B45800"/>
    <w:rsid w:val="00B516E4"/>
    <w:rsid w:val="00B55B5A"/>
    <w:rsid w:val="00B5656F"/>
    <w:rsid w:val="00B56870"/>
    <w:rsid w:val="00B6746B"/>
    <w:rsid w:val="00B67EF0"/>
    <w:rsid w:val="00B76113"/>
    <w:rsid w:val="00B7757A"/>
    <w:rsid w:val="00B82667"/>
    <w:rsid w:val="00B856AF"/>
    <w:rsid w:val="00B910E6"/>
    <w:rsid w:val="00B95786"/>
    <w:rsid w:val="00BA3C34"/>
    <w:rsid w:val="00BA5DD3"/>
    <w:rsid w:val="00BB3199"/>
    <w:rsid w:val="00BB5616"/>
    <w:rsid w:val="00BB6FF4"/>
    <w:rsid w:val="00BB7E4D"/>
    <w:rsid w:val="00BC07E8"/>
    <w:rsid w:val="00BC11A7"/>
    <w:rsid w:val="00BC2CBD"/>
    <w:rsid w:val="00BC3598"/>
    <w:rsid w:val="00BC4FBD"/>
    <w:rsid w:val="00BC521D"/>
    <w:rsid w:val="00BC65F2"/>
    <w:rsid w:val="00BD1D24"/>
    <w:rsid w:val="00BD3E07"/>
    <w:rsid w:val="00BD536D"/>
    <w:rsid w:val="00BD61DF"/>
    <w:rsid w:val="00BD642C"/>
    <w:rsid w:val="00BD6E10"/>
    <w:rsid w:val="00BD7F43"/>
    <w:rsid w:val="00BF0458"/>
    <w:rsid w:val="00BF1E6C"/>
    <w:rsid w:val="00BF324B"/>
    <w:rsid w:val="00BF3CCE"/>
    <w:rsid w:val="00BF54EE"/>
    <w:rsid w:val="00BF6CC6"/>
    <w:rsid w:val="00C01008"/>
    <w:rsid w:val="00C03B76"/>
    <w:rsid w:val="00C054B9"/>
    <w:rsid w:val="00C10FDA"/>
    <w:rsid w:val="00C14974"/>
    <w:rsid w:val="00C15E8C"/>
    <w:rsid w:val="00C16EF4"/>
    <w:rsid w:val="00C228B8"/>
    <w:rsid w:val="00C27AEF"/>
    <w:rsid w:val="00C3413B"/>
    <w:rsid w:val="00C40DCD"/>
    <w:rsid w:val="00C41A2C"/>
    <w:rsid w:val="00C44133"/>
    <w:rsid w:val="00C44BAB"/>
    <w:rsid w:val="00C479D0"/>
    <w:rsid w:val="00C50B2E"/>
    <w:rsid w:val="00C55A7E"/>
    <w:rsid w:val="00C64701"/>
    <w:rsid w:val="00C65723"/>
    <w:rsid w:val="00C65AE4"/>
    <w:rsid w:val="00C70549"/>
    <w:rsid w:val="00C719F0"/>
    <w:rsid w:val="00C7508B"/>
    <w:rsid w:val="00C75D54"/>
    <w:rsid w:val="00C75F4E"/>
    <w:rsid w:val="00C81352"/>
    <w:rsid w:val="00C84420"/>
    <w:rsid w:val="00C86F5B"/>
    <w:rsid w:val="00C873EF"/>
    <w:rsid w:val="00C87B1D"/>
    <w:rsid w:val="00C915D9"/>
    <w:rsid w:val="00CA1187"/>
    <w:rsid w:val="00CA13A3"/>
    <w:rsid w:val="00CA3D0D"/>
    <w:rsid w:val="00CA4DED"/>
    <w:rsid w:val="00CA6941"/>
    <w:rsid w:val="00CA7268"/>
    <w:rsid w:val="00CB02B2"/>
    <w:rsid w:val="00CB1143"/>
    <w:rsid w:val="00CB5E09"/>
    <w:rsid w:val="00CC00E4"/>
    <w:rsid w:val="00CC1C94"/>
    <w:rsid w:val="00CC3A0E"/>
    <w:rsid w:val="00CC4035"/>
    <w:rsid w:val="00CC6ACD"/>
    <w:rsid w:val="00CC7745"/>
    <w:rsid w:val="00CD670B"/>
    <w:rsid w:val="00CD7363"/>
    <w:rsid w:val="00CE07BD"/>
    <w:rsid w:val="00CE1D6C"/>
    <w:rsid w:val="00CF14BF"/>
    <w:rsid w:val="00CF1C0A"/>
    <w:rsid w:val="00CF480B"/>
    <w:rsid w:val="00CF5B21"/>
    <w:rsid w:val="00CF610F"/>
    <w:rsid w:val="00CF6EB0"/>
    <w:rsid w:val="00CF7C11"/>
    <w:rsid w:val="00D05A58"/>
    <w:rsid w:val="00D07AC0"/>
    <w:rsid w:val="00D120AC"/>
    <w:rsid w:val="00D131BA"/>
    <w:rsid w:val="00D157D4"/>
    <w:rsid w:val="00D163E4"/>
    <w:rsid w:val="00D208D5"/>
    <w:rsid w:val="00D20F4B"/>
    <w:rsid w:val="00D22165"/>
    <w:rsid w:val="00D22FB2"/>
    <w:rsid w:val="00D247EC"/>
    <w:rsid w:val="00D317AD"/>
    <w:rsid w:val="00D336A0"/>
    <w:rsid w:val="00D35A08"/>
    <w:rsid w:val="00D41EA4"/>
    <w:rsid w:val="00D42041"/>
    <w:rsid w:val="00D42A1F"/>
    <w:rsid w:val="00D43117"/>
    <w:rsid w:val="00D500CB"/>
    <w:rsid w:val="00D51498"/>
    <w:rsid w:val="00D51AB5"/>
    <w:rsid w:val="00D53184"/>
    <w:rsid w:val="00D54FDC"/>
    <w:rsid w:val="00D577BF"/>
    <w:rsid w:val="00D63102"/>
    <w:rsid w:val="00D64AEF"/>
    <w:rsid w:val="00D70111"/>
    <w:rsid w:val="00D70898"/>
    <w:rsid w:val="00D75B0F"/>
    <w:rsid w:val="00D75BE1"/>
    <w:rsid w:val="00D76BC4"/>
    <w:rsid w:val="00D8546E"/>
    <w:rsid w:val="00D913E0"/>
    <w:rsid w:val="00D9239F"/>
    <w:rsid w:val="00D95E27"/>
    <w:rsid w:val="00DA07E1"/>
    <w:rsid w:val="00DA1C4B"/>
    <w:rsid w:val="00DA2536"/>
    <w:rsid w:val="00DA29AD"/>
    <w:rsid w:val="00DA385D"/>
    <w:rsid w:val="00DA3DBE"/>
    <w:rsid w:val="00DA4AB7"/>
    <w:rsid w:val="00DB0367"/>
    <w:rsid w:val="00DB0BA1"/>
    <w:rsid w:val="00DC4E28"/>
    <w:rsid w:val="00DC7EA3"/>
    <w:rsid w:val="00DD31DE"/>
    <w:rsid w:val="00DD39DA"/>
    <w:rsid w:val="00DD77FF"/>
    <w:rsid w:val="00DD7AA8"/>
    <w:rsid w:val="00DD7FF3"/>
    <w:rsid w:val="00DE15F8"/>
    <w:rsid w:val="00DE16D9"/>
    <w:rsid w:val="00DE5E59"/>
    <w:rsid w:val="00DE7C5A"/>
    <w:rsid w:val="00DF1BE9"/>
    <w:rsid w:val="00DF63FC"/>
    <w:rsid w:val="00DF7501"/>
    <w:rsid w:val="00E02AF5"/>
    <w:rsid w:val="00E03FB4"/>
    <w:rsid w:val="00E049D2"/>
    <w:rsid w:val="00E057A0"/>
    <w:rsid w:val="00E108F8"/>
    <w:rsid w:val="00E10FEA"/>
    <w:rsid w:val="00E11F73"/>
    <w:rsid w:val="00E16870"/>
    <w:rsid w:val="00E16B33"/>
    <w:rsid w:val="00E20F8A"/>
    <w:rsid w:val="00E2123A"/>
    <w:rsid w:val="00E21813"/>
    <w:rsid w:val="00E254A9"/>
    <w:rsid w:val="00E3003D"/>
    <w:rsid w:val="00E34480"/>
    <w:rsid w:val="00E34AFC"/>
    <w:rsid w:val="00E40714"/>
    <w:rsid w:val="00E40BC2"/>
    <w:rsid w:val="00E417EB"/>
    <w:rsid w:val="00E44632"/>
    <w:rsid w:val="00E45405"/>
    <w:rsid w:val="00E5360B"/>
    <w:rsid w:val="00E54EF6"/>
    <w:rsid w:val="00E55FD7"/>
    <w:rsid w:val="00E622DE"/>
    <w:rsid w:val="00E65037"/>
    <w:rsid w:val="00E65523"/>
    <w:rsid w:val="00E66173"/>
    <w:rsid w:val="00E66F46"/>
    <w:rsid w:val="00E7097C"/>
    <w:rsid w:val="00E719FA"/>
    <w:rsid w:val="00E72500"/>
    <w:rsid w:val="00E73E5B"/>
    <w:rsid w:val="00E77427"/>
    <w:rsid w:val="00E77813"/>
    <w:rsid w:val="00E77B5A"/>
    <w:rsid w:val="00E83955"/>
    <w:rsid w:val="00E8710E"/>
    <w:rsid w:val="00E96E1F"/>
    <w:rsid w:val="00E97454"/>
    <w:rsid w:val="00EA0C31"/>
    <w:rsid w:val="00EA1283"/>
    <w:rsid w:val="00EA7B10"/>
    <w:rsid w:val="00EB5BDA"/>
    <w:rsid w:val="00EB5C1B"/>
    <w:rsid w:val="00EC0CA1"/>
    <w:rsid w:val="00EC22FB"/>
    <w:rsid w:val="00EC34DC"/>
    <w:rsid w:val="00EC361F"/>
    <w:rsid w:val="00EC7FD9"/>
    <w:rsid w:val="00ED0BE1"/>
    <w:rsid w:val="00ED32E1"/>
    <w:rsid w:val="00ED3E4D"/>
    <w:rsid w:val="00ED3FCD"/>
    <w:rsid w:val="00ED5130"/>
    <w:rsid w:val="00ED57A7"/>
    <w:rsid w:val="00ED5D3C"/>
    <w:rsid w:val="00ED621E"/>
    <w:rsid w:val="00EE0084"/>
    <w:rsid w:val="00EE3A10"/>
    <w:rsid w:val="00EE3C93"/>
    <w:rsid w:val="00EF0D99"/>
    <w:rsid w:val="00EF4A3C"/>
    <w:rsid w:val="00EF4E3F"/>
    <w:rsid w:val="00EF5E8B"/>
    <w:rsid w:val="00EF607A"/>
    <w:rsid w:val="00F00CD1"/>
    <w:rsid w:val="00F00F5A"/>
    <w:rsid w:val="00F030AE"/>
    <w:rsid w:val="00F0341F"/>
    <w:rsid w:val="00F05C8F"/>
    <w:rsid w:val="00F10C8F"/>
    <w:rsid w:val="00F11237"/>
    <w:rsid w:val="00F1469F"/>
    <w:rsid w:val="00F1470B"/>
    <w:rsid w:val="00F15D0E"/>
    <w:rsid w:val="00F21B8A"/>
    <w:rsid w:val="00F26504"/>
    <w:rsid w:val="00F273F0"/>
    <w:rsid w:val="00F2777E"/>
    <w:rsid w:val="00F31495"/>
    <w:rsid w:val="00F35FD0"/>
    <w:rsid w:val="00F41960"/>
    <w:rsid w:val="00F57297"/>
    <w:rsid w:val="00F6297B"/>
    <w:rsid w:val="00F6333F"/>
    <w:rsid w:val="00F634FA"/>
    <w:rsid w:val="00F63958"/>
    <w:rsid w:val="00F63C70"/>
    <w:rsid w:val="00F6605F"/>
    <w:rsid w:val="00F66EAC"/>
    <w:rsid w:val="00F67AA4"/>
    <w:rsid w:val="00F704E0"/>
    <w:rsid w:val="00F74831"/>
    <w:rsid w:val="00F75662"/>
    <w:rsid w:val="00F75A72"/>
    <w:rsid w:val="00F76771"/>
    <w:rsid w:val="00F825E5"/>
    <w:rsid w:val="00F82F59"/>
    <w:rsid w:val="00F832B8"/>
    <w:rsid w:val="00F87BC0"/>
    <w:rsid w:val="00F87E9C"/>
    <w:rsid w:val="00F936DA"/>
    <w:rsid w:val="00F95DFA"/>
    <w:rsid w:val="00FA08CC"/>
    <w:rsid w:val="00FA1806"/>
    <w:rsid w:val="00FA1EF5"/>
    <w:rsid w:val="00FA2661"/>
    <w:rsid w:val="00FA31FB"/>
    <w:rsid w:val="00FA6017"/>
    <w:rsid w:val="00FA77C6"/>
    <w:rsid w:val="00FB1C6B"/>
    <w:rsid w:val="00FB5D4D"/>
    <w:rsid w:val="00FC03D3"/>
    <w:rsid w:val="00FC0C13"/>
    <w:rsid w:val="00FC5937"/>
    <w:rsid w:val="00FC7883"/>
    <w:rsid w:val="00FD3276"/>
    <w:rsid w:val="00FD771A"/>
    <w:rsid w:val="00FD7948"/>
    <w:rsid w:val="00FE565B"/>
    <w:rsid w:val="00FE5D67"/>
    <w:rsid w:val="00FE63E4"/>
    <w:rsid w:val="00FF0974"/>
    <w:rsid w:val="00FF2F8D"/>
    <w:rsid w:val="00FF3DEE"/>
    <w:rsid w:val="00FF574C"/>
    <w:rsid w:val="24FD53FA"/>
    <w:rsid w:val="479D06ED"/>
    <w:rsid w:val="658803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99"/>
    <w:rPr>
      <w:rFonts w:cs="Times New Roman"/>
      <w:b/>
      <w:bCs/>
    </w:rPr>
  </w:style>
  <w:style w:type="character" w:customStyle="1" w:styleId="9">
    <w:name w:val="页眉 字符"/>
    <w:link w:val="4"/>
    <w:qFormat/>
    <w:locked/>
    <w:uiPriority w:val="99"/>
    <w:rPr>
      <w:rFonts w:cs="Times New Roman"/>
      <w:kern w:val="2"/>
      <w:sz w:val="18"/>
      <w:szCs w:val="18"/>
    </w:rPr>
  </w:style>
  <w:style w:type="character" w:customStyle="1" w:styleId="10">
    <w:name w:val="页脚 字符"/>
    <w:link w:val="3"/>
    <w:qFormat/>
    <w:locked/>
    <w:uiPriority w:val="99"/>
    <w:rPr>
      <w:rFonts w:cs="Times New Roman"/>
      <w:kern w:val="2"/>
      <w:sz w:val="18"/>
      <w:szCs w:val="18"/>
    </w:rPr>
  </w:style>
  <w:style w:type="character" w:customStyle="1" w:styleId="11">
    <w:name w:val="日期 字符"/>
    <w:basedOn w:val="7"/>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0625B1-7F4C-481F-B1DE-B5E397CFAF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567</Words>
  <Characters>3235</Characters>
  <Lines>26</Lines>
  <Paragraphs>7</Paragraphs>
  <TotalTime>67</TotalTime>
  <ScaleCrop>false</ScaleCrop>
  <LinksUpToDate>false</LinksUpToDate>
  <CharactersWithSpaces>3795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2021-12-22T10:30:00Z</dcterms:created>
  <dc:creator>蒙少群</dc:creator>
  <cp:lastModifiedBy>梅川</cp:lastModifiedBy>
  <cp:lastPrinted>2021-12-22T11:51:00Z</cp:lastPrinted>
  <dcterms:modified xsi:type="dcterms:W3CDTF">2021-12-27T04:21:37Z</dcterms:modified>
  <dc:title>强化工程质量监管</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53302172370A416384C07F5EDB796772</vt:lpwstr>
  </property>
</Properties>
</file>