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val="en-US" w:eastAsia="zh-CN"/>
        </w:rPr>
      </w:pP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工程造价全过程精细化管理探析</w:t>
      </w:r>
    </w:p>
    <w:p>
      <w:pPr>
        <w:jc w:val="center"/>
        <w:rPr>
          <w:rFonts w:hint="eastAsia" w:ascii="仿宋" w:hAnsi="仿宋" w:eastAsia="仿宋" w:cs="仿宋"/>
          <w:sz w:val="30"/>
          <w:szCs w:val="30"/>
          <w:lang w:val="en-US" w:eastAsia="zh-CN"/>
        </w:rPr>
      </w:pPr>
    </w:p>
    <w:p>
      <w:pPr>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【作者】</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姓名：石少龙</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所在单位：博众工程咨询有限公司海南分公司</w:t>
      </w:r>
    </w:p>
    <w:p>
      <w:pPr>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【摘要】</w:t>
      </w:r>
    </w:p>
    <w:p>
      <w:pPr>
        <w:ind w:firstLine="560" w:firstLineChars="200"/>
        <w:outlineLvl w:val="9"/>
        <w:rPr>
          <w:rFonts w:hint="eastAsia" w:ascii="仿宋_GB2312" w:hAnsi="仿宋_GB2312" w:eastAsia="仿宋_GB2312" w:cs="仿宋_GB2312"/>
          <w:color w:val="auto"/>
          <w:sz w:val="28"/>
          <w:szCs w:val="28"/>
          <w:lang w:val="en-US" w:eastAsia="zh-CN"/>
        </w:rPr>
      </w:pPr>
      <w:r>
        <w:rPr>
          <w:rFonts w:hint="eastAsia" w:ascii="仿宋" w:hAnsi="仿宋" w:eastAsia="仿宋" w:cs="仿宋"/>
          <w:sz w:val="28"/>
          <w:szCs w:val="28"/>
          <w:lang w:val="en-US" w:eastAsia="zh-CN"/>
        </w:rPr>
        <w:t>本文研究分析了工程造价全过程管理的现状及存在的问题，根据相关法律法规、规范，</w:t>
      </w:r>
      <w:r>
        <w:rPr>
          <w:rFonts w:hint="eastAsia" w:ascii="仿宋_GB2312" w:hAnsi="仿宋_GB2312" w:eastAsia="仿宋_GB2312" w:cs="仿宋_GB2312"/>
          <w:color w:val="auto"/>
          <w:sz w:val="28"/>
          <w:szCs w:val="28"/>
          <w:lang w:val="en-US" w:eastAsia="zh-CN"/>
        </w:rPr>
        <w:t>结合实践经验提出工程造价全过程精细化管理工作的思路和要点建议，希望对政府部门、项目单位和造价咨询单位</w:t>
      </w:r>
      <w:r>
        <w:rPr>
          <w:rFonts w:hint="eastAsia" w:ascii="仿宋" w:hAnsi="仿宋" w:eastAsia="仿宋" w:cs="仿宋"/>
          <w:b w:val="0"/>
          <w:bCs w:val="0"/>
          <w:color w:val="auto"/>
          <w:sz w:val="28"/>
          <w:szCs w:val="28"/>
          <w:lang w:val="en-US" w:eastAsia="zh-CN"/>
        </w:rPr>
        <w:t>对投资项目的管理，规范投资项目建设行为，防范化解项目建设风险，促进全过程精细化管控项目的能力起到</w:t>
      </w:r>
      <w:r>
        <w:rPr>
          <w:rFonts w:hint="eastAsia" w:ascii="仿宋_GB2312" w:hAnsi="仿宋_GB2312" w:eastAsia="仿宋_GB2312" w:cs="仿宋_GB2312"/>
          <w:color w:val="auto"/>
          <w:sz w:val="28"/>
          <w:szCs w:val="28"/>
          <w:lang w:val="en-US" w:eastAsia="zh-CN"/>
        </w:rPr>
        <w:t>积极作用。</w:t>
      </w:r>
    </w:p>
    <w:p>
      <w:pPr>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【关键词】</w:t>
      </w:r>
    </w:p>
    <w:p>
      <w:pPr>
        <w:ind w:firstLine="560" w:firstLineChars="200"/>
        <w:jc w:val="both"/>
        <w:rPr>
          <w:rFonts w:hint="eastAsia" w:ascii="仿宋" w:hAnsi="仿宋" w:eastAsia="仿宋" w:cs="仿宋"/>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sz w:val="28"/>
          <w:szCs w:val="28"/>
          <w:lang w:val="en-US" w:eastAsia="zh-CN"/>
        </w:rPr>
        <w:t>精细化管理、重心前移、流程再造、合同协同。</w:t>
      </w:r>
    </w:p>
    <w:sdt>
      <w:sdtPr>
        <w:rPr>
          <w:rFonts w:hint="eastAsia" w:ascii="仿宋" w:hAnsi="仿宋" w:eastAsia="仿宋" w:cs="仿宋"/>
          <w:b/>
          <w:bCs/>
          <w:kern w:val="2"/>
          <w:sz w:val="21"/>
          <w:szCs w:val="24"/>
          <w:lang w:val="en-US" w:eastAsia="zh-CN" w:bidi="ar-SA"/>
        </w:rPr>
        <w:id w:val="147480708"/>
        <w15:color w:val="DBDBDB"/>
        <w:docPartObj>
          <w:docPartGallery w:val="Table of Contents"/>
          <w:docPartUnique/>
        </w:docPartObj>
      </w:sdtPr>
      <w:sdtEndPr>
        <w:rPr>
          <w:rFonts w:hint="eastAsia" w:ascii="仿宋" w:hAnsi="仿宋" w:eastAsia="仿宋" w:cs="仿宋"/>
          <w:b/>
          <w:bCs/>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32"/>
              <w:szCs w:val="40"/>
            </w:rPr>
          </w:pPr>
          <w:r>
            <w:rPr>
              <w:rFonts w:hint="eastAsia" w:ascii="仿宋" w:hAnsi="仿宋" w:eastAsia="仿宋" w:cs="仿宋"/>
              <w:b/>
              <w:bCs/>
              <w:sz w:val="32"/>
              <w:szCs w:val="40"/>
            </w:rPr>
            <w:t>目</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录</w:t>
          </w:r>
        </w:p>
        <w:p>
          <w:pPr>
            <w:pStyle w:val="6"/>
            <w:tabs>
              <w:tab w:val="right" w:leader="dot" w:pos="8306"/>
            </w:tabs>
          </w:pPr>
          <w:r>
            <w:rPr>
              <w:rFonts w:hint="eastAsia" w:ascii="仿宋" w:hAnsi="仿宋" w:eastAsia="仿宋" w:cs="仿宋"/>
              <w:b/>
              <w:bCs/>
              <w:sz w:val="24"/>
              <w:szCs w:val="24"/>
              <w:lang w:val="en-US" w:eastAsia="zh-CN"/>
            </w:rPr>
            <w:fldChar w:fldCharType="begin"/>
          </w:r>
          <w:r>
            <w:rPr>
              <w:rFonts w:hint="eastAsia" w:ascii="仿宋" w:hAnsi="仿宋" w:eastAsia="仿宋" w:cs="仿宋"/>
              <w:b/>
              <w:bCs/>
              <w:sz w:val="24"/>
              <w:szCs w:val="24"/>
              <w:lang w:val="en-US" w:eastAsia="zh-CN"/>
            </w:rPr>
            <w:instrText xml:space="preserve">TOC \o "1-3" \h \u </w:instrText>
          </w:r>
          <w:r>
            <w:rPr>
              <w:rFonts w:hint="eastAsia" w:ascii="仿宋" w:hAnsi="仿宋" w:eastAsia="仿宋" w:cs="仿宋"/>
              <w:b/>
              <w:bCs/>
              <w:sz w:val="24"/>
              <w:szCs w:val="24"/>
              <w:lang w:val="en-US" w:eastAsia="zh-CN"/>
            </w:rPr>
            <w:fldChar w:fldCharType="separate"/>
          </w: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_Toc9415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【引言】</w:t>
          </w:r>
          <w:r>
            <w:tab/>
          </w:r>
          <w:r>
            <w:fldChar w:fldCharType="begin"/>
          </w:r>
          <w:r>
            <w:instrText xml:space="preserve"> PAGEREF _Toc9415 \h </w:instrText>
          </w:r>
          <w:r>
            <w:fldChar w:fldCharType="separate"/>
          </w:r>
          <w:r>
            <w:t>1</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_Toc20255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【正文】</w:t>
          </w:r>
          <w:r>
            <w:tab/>
          </w:r>
          <w:r>
            <w:fldChar w:fldCharType="begin"/>
          </w:r>
          <w:r>
            <w:instrText xml:space="preserve"> PAGEREF _Toc20255 \h </w:instrText>
          </w:r>
          <w:r>
            <w:fldChar w:fldCharType="separate"/>
          </w:r>
          <w:r>
            <w:t>2</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_Toc19986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1.</w:t>
          </w:r>
          <w:r>
            <w:rPr>
              <w:rFonts w:hint="eastAsia" w:ascii="仿宋" w:hAnsi="仿宋" w:eastAsia="仿宋" w:cs="仿宋"/>
              <w:bCs/>
              <w:lang w:eastAsia="zh-CN"/>
            </w:rPr>
            <w:t>工程造价全过程管理的现状</w:t>
          </w:r>
          <w:r>
            <w:tab/>
          </w:r>
          <w:r>
            <w:fldChar w:fldCharType="begin"/>
          </w:r>
          <w:r>
            <w:instrText xml:space="preserve"> PAGEREF _Toc19986 \h </w:instrText>
          </w:r>
          <w:r>
            <w:fldChar w:fldCharType="separate"/>
          </w:r>
          <w:r>
            <w:t>2</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_Toc28277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2.造价全过程管理普遍存在的问题</w:t>
          </w:r>
          <w:r>
            <w:tab/>
          </w:r>
          <w:r>
            <w:fldChar w:fldCharType="begin"/>
          </w:r>
          <w:r>
            <w:instrText xml:space="preserve"> PAGEREF _Toc28277 \h </w:instrText>
          </w:r>
          <w:r>
            <w:fldChar w:fldCharType="separate"/>
          </w:r>
          <w:r>
            <w:t>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_Toc12297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2.1.企业层面缺乏一套全面系统的“价税双控管理体系”</w:t>
          </w:r>
          <w:r>
            <w:tab/>
          </w:r>
          <w:r>
            <w:fldChar w:fldCharType="begin"/>
          </w:r>
          <w:r>
            <w:instrText xml:space="preserve"> PAGEREF _Toc12297 \h </w:instrText>
          </w:r>
          <w:r>
            <w:fldChar w:fldCharType="separate"/>
          </w:r>
          <w:r>
            <w:t>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_Toc21447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2.2.项目层面缺乏一套价税全过程管理流程</w:t>
          </w:r>
          <w:r>
            <w:tab/>
          </w:r>
          <w:r>
            <w:fldChar w:fldCharType="begin"/>
          </w:r>
          <w:r>
            <w:instrText xml:space="preserve"> PAGEREF _Toc21447 \h </w:instrText>
          </w:r>
          <w:r>
            <w:fldChar w:fldCharType="separate"/>
          </w:r>
          <w:r>
            <w:t>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_Toc32011 </w:instrText>
          </w:r>
          <w:r>
            <w:rPr>
              <w:rFonts w:hint="eastAsia" w:ascii="仿宋" w:hAnsi="仿宋" w:eastAsia="仿宋" w:cs="仿宋"/>
              <w:bCs/>
              <w:szCs w:val="24"/>
              <w:lang w:val="en-US" w:eastAsia="zh-CN"/>
            </w:rPr>
            <w:fldChar w:fldCharType="separate"/>
          </w:r>
          <w:r>
            <w:rPr>
              <w:rFonts w:hint="eastAsia" w:ascii="仿宋" w:hAnsi="仿宋" w:eastAsia="仿宋" w:cs="仿宋"/>
              <w:bCs w:val="0"/>
              <w:szCs w:val="28"/>
              <w:lang w:val="en-US" w:eastAsia="zh-CN"/>
            </w:rPr>
            <w:t>2.3.合同条款粗放策划不到位</w:t>
          </w:r>
          <w:r>
            <w:tab/>
          </w:r>
          <w:r>
            <w:fldChar w:fldCharType="begin"/>
          </w:r>
          <w:r>
            <w:instrText xml:space="preserve"> PAGEREF _Toc32011 \h </w:instrText>
          </w:r>
          <w:r>
            <w:fldChar w:fldCharType="separate"/>
          </w:r>
          <w:r>
            <w:t>3</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_Toc6640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2.4.增值税计价模式下六方协同不到位</w:t>
          </w:r>
          <w:r>
            <w:tab/>
          </w:r>
          <w:r>
            <w:fldChar w:fldCharType="begin"/>
          </w:r>
          <w:r>
            <w:instrText xml:space="preserve"> PAGEREF _Toc6640 \h </w:instrText>
          </w:r>
          <w:r>
            <w:fldChar w:fldCharType="separate"/>
          </w:r>
          <w:r>
            <w:t>3</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_Toc13983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2.5.缺乏价、税双控</w:t>
          </w:r>
          <w:r>
            <w:rPr>
              <w:rFonts w:hint="eastAsia" w:ascii="仿宋" w:hAnsi="仿宋" w:eastAsia="仿宋" w:cs="仿宋"/>
              <w:bCs/>
              <w:lang w:eastAsia="zh-CN"/>
            </w:rPr>
            <w:t>手段</w:t>
          </w:r>
          <w:r>
            <w:tab/>
          </w:r>
          <w:r>
            <w:fldChar w:fldCharType="begin"/>
          </w:r>
          <w:r>
            <w:instrText xml:space="preserve"> PAGEREF _Toc13983 \h </w:instrText>
          </w:r>
          <w:r>
            <w:fldChar w:fldCharType="separate"/>
          </w:r>
          <w:r>
            <w:t>3</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_Toc3624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2.6.结算审核税金计算有误、价款调整有误</w:t>
          </w:r>
          <w:r>
            <w:tab/>
          </w:r>
          <w:r>
            <w:fldChar w:fldCharType="begin"/>
          </w:r>
          <w:r>
            <w:instrText xml:space="preserve"> PAGEREF _Toc3624 \h </w:instrText>
          </w:r>
          <w:r>
            <w:fldChar w:fldCharType="separate"/>
          </w:r>
          <w:r>
            <w:t>3</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_Toc10174 </w:instrText>
          </w:r>
          <w:r>
            <w:rPr>
              <w:rFonts w:hint="eastAsia" w:ascii="仿宋" w:hAnsi="仿宋" w:eastAsia="仿宋" w:cs="仿宋"/>
              <w:bCs/>
              <w:szCs w:val="24"/>
              <w:lang w:val="en-US" w:eastAsia="zh-CN"/>
            </w:rPr>
            <w:fldChar w:fldCharType="separate"/>
          </w:r>
          <w:r>
            <w:rPr>
              <w:rFonts w:hint="eastAsia" w:ascii="仿宋" w:hAnsi="仿宋" w:eastAsia="仿宋" w:cs="仿宋"/>
              <w:bCs w:val="0"/>
              <w:szCs w:val="28"/>
              <w:lang w:val="en-US" w:eastAsia="zh-CN"/>
            </w:rPr>
            <w:t>2.7.资料归档问题</w:t>
          </w:r>
          <w:r>
            <w:tab/>
          </w:r>
          <w:r>
            <w:fldChar w:fldCharType="begin"/>
          </w:r>
          <w:r>
            <w:instrText xml:space="preserve"> PAGEREF _Toc10174 \h </w:instrText>
          </w:r>
          <w:r>
            <w:fldChar w:fldCharType="separate"/>
          </w:r>
          <w:r>
            <w:t>3</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_Toc16284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3.工程造价全过程精细化管理要点</w:t>
          </w:r>
          <w:r>
            <w:tab/>
          </w:r>
          <w:r>
            <w:fldChar w:fldCharType="begin"/>
          </w:r>
          <w:r>
            <w:instrText xml:space="preserve"> PAGEREF _Toc16284 \h </w:instrText>
          </w:r>
          <w:r>
            <w:fldChar w:fldCharType="separate"/>
          </w:r>
          <w:r>
            <w:t>4</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_Toc14991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3.1 </w:t>
          </w:r>
          <w:r>
            <w:rPr>
              <w:rFonts w:hint="eastAsia" w:ascii="仿宋" w:hAnsi="仿宋" w:eastAsia="仿宋" w:cs="仿宋"/>
              <w:bCs/>
              <w:szCs w:val="28"/>
            </w:rPr>
            <w:t>招投标环节精细化管控</w:t>
          </w:r>
          <w:r>
            <w:rPr>
              <w:rFonts w:hint="eastAsia" w:ascii="仿宋" w:hAnsi="仿宋" w:eastAsia="仿宋" w:cs="仿宋"/>
              <w:bCs/>
              <w:szCs w:val="28"/>
              <w:lang w:val="en-US" w:eastAsia="zh-CN"/>
            </w:rPr>
            <w:t>环节</w:t>
          </w:r>
          <w:r>
            <w:tab/>
          </w:r>
          <w:r>
            <w:fldChar w:fldCharType="begin"/>
          </w:r>
          <w:r>
            <w:instrText xml:space="preserve"> PAGEREF _Toc14991 \h </w:instrText>
          </w:r>
          <w:r>
            <w:fldChar w:fldCharType="separate"/>
          </w:r>
          <w:r>
            <w:t>4</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_Toc28865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3.1.1 </w:t>
          </w:r>
          <w:r>
            <w:rPr>
              <w:rFonts w:hint="eastAsia" w:ascii="仿宋" w:hAnsi="仿宋" w:eastAsia="仿宋" w:cs="仿宋"/>
              <w:bCs/>
              <w:szCs w:val="28"/>
            </w:rPr>
            <w:t>招标中工程量清单编制常见错误及应对策略</w:t>
          </w:r>
          <w:r>
            <w:tab/>
          </w:r>
          <w:r>
            <w:fldChar w:fldCharType="begin"/>
          </w:r>
          <w:r>
            <w:instrText xml:space="preserve"> PAGEREF _Toc28865 \h </w:instrText>
          </w:r>
          <w:r>
            <w:fldChar w:fldCharType="separate"/>
          </w:r>
          <w:r>
            <w:t>4</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_Toc19703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3.1.2 </w:t>
          </w:r>
          <w:r>
            <w:rPr>
              <w:rFonts w:hint="eastAsia" w:ascii="仿宋" w:hAnsi="仿宋" w:eastAsia="仿宋" w:cs="仿宋"/>
              <w:bCs/>
              <w:szCs w:val="28"/>
            </w:rPr>
            <w:t>招标中工程量清单编制常见错误</w:t>
          </w:r>
          <w:r>
            <w:rPr>
              <w:rFonts w:hint="eastAsia" w:ascii="仿宋" w:hAnsi="仿宋" w:eastAsia="仿宋" w:cs="仿宋"/>
              <w:bCs/>
              <w:szCs w:val="28"/>
              <w:lang w:val="en-US" w:eastAsia="zh-CN"/>
            </w:rPr>
            <w:t>的补救措施</w:t>
          </w:r>
          <w:r>
            <w:tab/>
          </w:r>
          <w:r>
            <w:fldChar w:fldCharType="begin"/>
          </w:r>
          <w:r>
            <w:instrText xml:space="preserve"> PAGEREF _Toc19703 \h </w:instrText>
          </w:r>
          <w:r>
            <w:fldChar w:fldCharType="separate"/>
          </w:r>
          <w:r>
            <w:t>5</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_Toc8227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3.1.3 编制</w:t>
          </w:r>
          <w:r>
            <w:rPr>
              <w:rFonts w:hint="eastAsia" w:ascii="仿宋" w:hAnsi="仿宋" w:eastAsia="仿宋" w:cs="仿宋"/>
              <w:bCs/>
              <w:szCs w:val="28"/>
            </w:rPr>
            <w:t>招标控制价的</w:t>
          </w:r>
          <w:r>
            <w:rPr>
              <w:rFonts w:hint="eastAsia" w:ascii="仿宋" w:hAnsi="仿宋" w:eastAsia="仿宋" w:cs="仿宋"/>
              <w:bCs/>
              <w:szCs w:val="28"/>
              <w:lang w:eastAsia="zh-CN"/>
            </w:rPr>
            <w:t>“</w:t>
          </w:r>
          <w:r>
            <w:rPr>
              <w:rFonts w:hint="eastAsia" w:ascii="仿宋" w:hAnsi="仿宋" w:eastAsia="仿宋" w:cs="仿宋"/>
              <w:bCs/>
              <w:szCs w:val="28"/>
              <w:lang w:val="en-US" w:eastAsia="zh-CN"/>
            </w:rPr>
            <w:t>8项</w:t>
          </w:r>
          <w:r>
            <w:rPr>
              <w:rFonts w:hint="eastAsia" w:ascii="仿宋" w:hAnsi="仿宋" w:eastAsia="仿宋" w:cs="仿宋"/>
              <w:bCs/>
              <w:szCs w:val="28"/>
            </w:rPr>
            <w:t>原则</w:t>
          </w:r>
          <w:r>
            <w:rPr>
              <w:rFonts w:hint="eastAsia" w:ascii="仿宋" w:hAnsi="仿宋" w:eastAsia="仿宋" w:cs="仿宋"/>
              <w:bCs/>
              <w:szCs w:val="28"/>
              <w:lang w:eastAsia="zh-CN"/>
            </w:rPr>
            <w:t>”</w:t>
          </w:r>
          <w:r>
            <w:tab/>
          </w:r>
          <w:r>
            <w:fldChar w:fldCharType="begin"/>
          </w:r>
          <w:r>
            <w:instrText xml:space="preserve"> PAGEREF _Toc8227 \h </w:instrText>
          </w:r>
          <w:r>
            <w:fldChar w:fldCharType="separate"/>
          </w:r>
          <w:r>
            <w:t>6</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_Toc677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3.1.4 </w:t>
          </w:r>
          <w:r>
            <w:rPr>
              <w:rFonts w:hint="eastAsia" w:ascii="仿宋" w:hAnsi="仿宋" w:eastAsia="仿宋" w:cs="仿宋"/>
              <w:bCs/>
              <w:szCs w:val="28"/>
            </w:rPr>
            <w:t>招标文件编制与评标</w:t>
          </w:r>
          <w:r>
            <w:rPr>
              <w:rFonts w:hint="eastAsia" w:ascii="仿宋" w:hAnsi="仿宋" w:eastAsia="仿宋" w:cs="仿宋"/>
              <w:bCs/>
              <w:szCs w:val="28"/>
              <w:lang w:val="en-US" w:eastAsia="zh-CN"/>
            </w:rPr>
            <w:t>应注意的“13项关键点”</w:t>
          </w:r>
          <w:r>
            <w:tab/>
          </w:r>
          <w:r>
            <w:fldChar w:fldCharType="begin"/>
          </w:r>
          <w:r>
            <w:instrText xml:space="preserve"> PAGEREF _Toc677 \h </w:instrText>
          </w:r>
          <w:r>
            <w:fldChar w:fldCharType="separate"/>
          </w:r>
          <w:r>
            <w:t>7</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_Toc19647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3.1.5 暂估价投标报价及结算纠纷应对策略</w:t>
          </w:r>
          <w:r>
            <w:tab/>
          </w:r>
          <w:r>
            <w:fldChar w:fldCharType="begin"/>
          </w:r>
          <w:r>
            <w:instrText xml:space="preserve"> PAGEREF _Toc19647 \h </w:instrText>
          </w:r>
          <w:r>
            <w:fldChar w:fldCharType="separate"/>
          </w:r>
          <w:r>
            <w:t>8</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_Toc18563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3.1.5 加强设计合同策划“四个方面的相关条款”</w:t>
          </w:r>
          <w:r>
            <w:tab/>
          </w:r>
          <w:r>
            <w:fldChar w:fldCharType="begin"/>
          </w:r>
          <w:r>
            <w:instrText xml:space="preserve"> PAGEREF _Toc18563 \h </w:instrText>
          </w:r>
          <w:r>
            <w:fldChar w:fldCharType="separate"/>
          </w:r>
          <w:r>
            <w:t>8</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_Toc31279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3.1.6 </w:t>
          </w:r>
          <w:r>
            <w:rPr>
              <w:rFonts w:hint="eastAsia" w:ascii="仿宋" w:hAnsi="仿宋" w:eastAsia="仿宋" w:cs="仿宋"/>
              <w:bCs/>
              <w:szCs w:val="28"/>
              <w:highlight w:val="none"/>
              <w:lang w:val="en-US" w:eastAsia="zh-CN"/>
            </w:rPr>
            <w:t>合约签订前的要点</w:t>
          </w:r>
          <w:r>
            <w:tab/>
          </w:r>
          <w:r>
            <w:fldChar w:fldCharType="begin"/>
          </w:r>
          <w:r>
            <w:instrText xml:space="preserve"> PAGEREF _Toc31279 \h </w:instrText>
          </w:r>
          <w:r>
            <w:fldChar w:fldCharType="separate"/>
          </w:r>
          <w:r>
            <w:t>9</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_Toc7351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3.2 施工合同策划环节</w:t>
          </w:r>
          <w:r>
            <w:tab/>
          </w:r>
          <w:r>
            <w:fldChar w:fldCharType="begin"/>
          </w:r>
          <w:r>
            <w:instrText xml:space="preserve"> PAGEREF _Toc7351 \h </w:instrText>
          </w:r>
          <w:r>
            <w:fldChar w:fldCharType="separate"/>
          </w:r>
          <w:r>
            <w:t>10</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_Toc23340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3.2.1 合同履行期间发生争议的处理原则</w:t>
          </w:r>
          <w:r>
            <w:tab/>
          </w:r>
          <w:r>
            <w:fldChar w:fldCharType="begin"/>
          </w:r>
          <w:r>
            <w:instrText xml:space="preserve"> PAGEREF _Toc23340 \h </w:instrText>
          </w:r>
          <w:r>
            <w:fldChar w:fldCharType="separate"/>
          </w:r>
          <w:r>
            <w:t>10</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_Toc1940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3.2.2 施工合同的10项关键点</w:t>
          </w:r>
          <w:r>
            <w:tab/>
          </w:r>
          <w:r>
            <w:fldChar w:fldCharType="begin"/>
          </w:r>
          <w:r>
            <w:instrText xml:space="preserve"> PAGEREF _Toc1940 \h </w:instrText>
          </w:r>
          <w:r>
            <w:fldChar w:fldCharType="separate"/>
          </w:r>
          <w:r>
            <w:t>10</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_Toc32054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 xml:space="preserve">3.2.3 </w:t>
          </w:r>
          <w:r>
            <w:rPr>
              <w:rFonts w:hint="eastAsia" w:ascii="仿宋" w:hAnsi="仿宋" w:eastAsia="仿宋" w:cs="仿宋"/>
              <w:bCs/>
              <w:szCs w:val="28"/>
              <w:highlight w:val="none"/>
              <w:lang w:val="en-US" w:eastAsia="zh-CN"/>
            </w:rPr>
            <w:t>合同风险责任划分的原则</w:t>
          </w:r>
          <w:r>
            <w:rPr>
              <w:rFonts w:hint="eastAsia" w:ascii="仿宋" w:hAnsi="仿宋" w:eastAsia="仿宋" w:cs="仿宋"/>
              <w:bCs/>
              <w:szCs w:val="28"/>
              <w:lang w:val="en-US" w:eastAsia="zh-CN"/>
            </w:rPr>
            <w:t>【一强制四原则】</w:t>
          </w:r>
          <w:r>
            <w:tab/>
          </w:r>
          <w:r>
            <w:fldChar w:fldCharType="begin"/>
          </w:r>
          <w:r>
            <w:instrText xml:space="preserve"> PAGEREF _Toc32054 \h </w:instrText>
          </w:r>
          <w:r>
            <w:fldChar w:fldCharType="separate"/>
          </w:r>
          <w:r>
            <w:t>10</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_Toc21804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3.3 工程计量精细化管控环节</w:t>
          </w:r>
          <w:r>
            <w:tab/>
          </w:r>
          <w:r>
            <w:fldChar w:fldCharType="begin"/>
          </w:r>
          <w:r>
            <w:instrText xml:space="preserve"> PAGEREF _Toc21804 \h </w:instrText>
          </w:r>
          <w:r>
            <w:fldChar w:fldCharType="separate"/>
          </w:r>
          <w:r>
            <w:t>12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_Toc26211 </w:instrText>
          </w:r>
          <w:r>
            <w:rPr>
              <w:rFonts w:hint="eastAsia" w:ascii="仿宋" w:hAnsi="仿宋" w:eastAsia="仿宋" w:cs="仿宋"/>
              <w:bCs/>
              <w:szCs w:val="24"/>
              <w:lang w:val="en-US" w:eastAsia="zh-CN"/>
            </w:rPr>
            <w:fldChar w:fldCharType="separate"/>
          </w:r>
          <w:r>
            <w:rPr>
              <w:rFonts w:hint="eastAsia" w:ascii="仿宋" w:hAnsi="仿宋" w:eastAsia="仿宋" w:cs="仿宋"/>
              <w:bCs/>
              <w:kern w:val="2"/>
              <w:szCs w:val="28"/>
              <w:lang w:val="en-US" w:eastAsia="zh-CN" w:bidi="ar-SA"/>
            </w:rPr>
            <w:t>3.3.1 计量环节存在的常见问题及原因</w:t>
          </w:r>
          <w:r>
            <w:tab/>
          </w:r>
          <w:r>
            <w:fldChar w:fldCharType="begin"/>
          </w:r>
          <w:r>
            <w:instrText xml:space="preserve"> PAGEREF _Toc26211 \h </w:instrText>
          </w:r>
          <w:r>
            <w:fldChar w:fldCharType="separate"/>
          </w:r>
          <w:r>
            <w:t>12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_Toc23655 </w:instrText>
          </w:r>
          <w:r>
            <w:rPr>
              <w:rFonts w:hint="eastAsia" w:ascii="仿宋" w:hAnsi="仿宋" w:eastAsia="仿宋" w:cs="仿宋"/>
              <w:bCs/>
              <w:szCs w:val="24"/>
              <w:lang w:val="en-US" w:eastAsia="zh-CN"/>
            </w:rPr>
            <w:fldChar w:fldCharType="separate"/>
          </w:r>
          <w:r>
            <w:rPr>
              <w:rFonts w:hint="eastAsia" w:ascii="仿宋" w:hAnsi="仿宋" w:eastAsia="仿宋" w:cs="仿宋"/>
              <w:bCs/>
              <w:kern w:val="2"/>
              <w:szCs w:val="28"/>
              <w:lang w:val="en-US" w:eastAsia="zh-CN" w:bidi="ar-SA"/>
            </w:rPr>
            <w:t>3.3.2 应对措施</w:t>
          </w:r>
          <w:r>
            <w:tab/>
          </w:r>
          <w:r>
            <w:fldChar w:fldCharType="begin"/>
          </w:r>
          <w:r>
            <w:instrText xml:space="preserve"> PAGEREF _Toc23655 \h </w:instrText>
          </w:r>
          <w:r>
            <w:fldChar w:fldCharType="separate"/>
          </w:r>
          <w:r>
            <w:t>13</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_Toc24216 </w:instrText>
          </w:r>
          <w:r>
            <w:rPr>
              <w:rFonts w:hint="eastAsia" w:ascii="仿宋" w:hAnsi="仿宋" w:eastAsia="仿宋" w:cs="仿宋"/>
              <w:bCs/>
              <w:szCs w:val="24"/>
              <w:lang w:val="en-US" w:eastAsia="zh-CN"/>
            </w:rPr>
            <w:fldChar w:fldCharType="separate"/>
          </w:r>
          <w:r>
            <w:rPr>
              <w:rFonts w:hint="eastAsia" w:ascii="仿宋" w:hAnsi="仿宋" w:eastAsia="仿宋" w:cs="仿宋"/>
              <w:bCs/>
              <w:kern w:val="2"/>
              <w:szCs w:val="28"/>
              <w:lang w:val="en-US" w:eastAsia="zh-CN" w:bidi="ar-SA"/>
            </w:rPr>
            <w:t>3.3.</w:t>
          </w:r>
          <w:r>
            <w:rPr>
              <w:rFonts w:hint="eastAsia" w:ascii="仿宋" w:hAnsi="仿宋" w:eastAsia="仿宋" w:cs="仿宋"/>
              <w:bCs/>
              <w:szCs w:val="28"/>
              <w:lang w:val="en-US" w:eastAsia="zh-CN"/>
            </w:rPr>
            <w:t>3 过程结算新思路</w:t>
          </w:r>
          <w:r>
            <w:tab/>
          </w:r>
          <w:r>
            <w:fldChar w:fldCharType="begin"/>
          </w:r>
          <w:r>
            <w:instrText xml:space="preserve"> PAGEREF _Toc24216 \h </w:instrText>
          </w:r>
          <w:r>
            <w:fldChar w:fldCharType="separate"/>
          </w:r>
          <w:r>
            <w:t>13</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_Toc18367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3.4 价款支付环节</w:t>
          </w:r>
          <w:r>
            <w:tab/>
          </w:r>
          <w:r>
            <w:fldChar w:fldCharType="begin"/>
          </w:r>
          <w:r>
            <w:instrText xml:space="preserve"> PAGEREF _Toc18367 \h </w:instrText>
          </w:r>
          <w:r>
            <w:fldChar w:fldCharType="separate"/>
          </w:r>
          <w:r>
            <w:t>14</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_Toc10183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3.4.1 工程预付款支付与抵扣</w:t>
          </w:r>
          <w:r>
            <w:tab/>
          </w:r>
          <w:r>
            <w:fldChar w:fldCharType="begin"/>
          </w:r>
          <w:r>
            <w:instrText xml:space="preserve"> PAGEREF _Toc10183 \h </w:instrText>
          </w:r>
          <w:r>
            <w:fldChar w:fldCharType="separate"/>
          </w:r>
          <w:r>
            <w:t>14</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_Toc13603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3.4.2安全文明施工费支付</w:t>
          </w:r>
          <w:r>
            <w:tab/>
          </w:r>
          <w:r>
            <w:fldChar w:fldCharType="begin"/>
          </w:r>
          <w:r>
            <w:instrText xml:space="preserve"> PAGEREF _Toc13603 \h </w:instrText>
          </w:r>
          <w:r>
            <w:fldChar w:fldCharType="separate"/>
          </w:r>
          <w:r>
            <w:t>15</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_Toc17639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3.4.3 进度款（期中）支付管理</w:t>
          </w:r>
          <w:r>
            <w:tab/>
          </w:r>
          <w:r>
            <w:fldChar w:fldCharType="begin"/>
          </w:r>
          <w:r>
            <w:instrText xml:space="preserve"> PAGEREF _Toc17639 \h </w:instrText>
          </w:r>
          <w:r>
            <w:fldChar w:fldCharType="separate"/>
          </w:r>
          <w:r>
            <w:t>17</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_Toc28033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3.5 竣工结算环节</w:t>
          </w:r>
          <w:r>
            <w:tab/>
          </w:r>
          <w:r>
            <w:fldChar w:fldCharType="begin"/>
          </w:r>
          <w:r>
            <w:instrText xml:space="preserve"> PAGEREF _Toc28033 \h </w:instrText>
          </w:r>
          <w:r>
            <w:fldChar w:fldCharType="separate"/>
          </w:r>
          <w:r>
            <w:t>20</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_Toc11700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3.5.1 工程竣工结算编制</w:t>
          </w:r>
          <w:r>
            <w:tab/>
          </w:r>
          <w:r>
            <w:fldChar w:fldCharType="begin"/>
          </w:r>
          <w:r>
            <w:instrText xml:space="preserve"> PAGEREF _Toc11700 \h </w:instrText>
          </w:r>
          <w:r>
            <w:fldChar w:fldCharType="separate"/>
          </w:r>
          <w:r>
            <w:t>20</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_Toc14853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3.5.2 结算款与结清款支付</w:t>
          </w:r>
          <w:r>
            <w:tab/>
          </w:r>
          <w:r>
            <w:fldChar w:fldCharType="begin"/>
          </w:r>
          <w:r>
            <w:instrText xml:space="preserve"> PAGEREF _Toc14853 \h </w:instrText>
          </w:r>
          <w:r>
            <w:fldChar w:fldCharType="separate"/>
          </w:r>
          <w:r>
            <w:t>21</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_Toc32133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3.5.3.竣工结算环节互不签认对策</w:t>
          </w:r>
          <w:r>
            <w:tab/>
          </w:r>
          <w:r>
            <w:fldChar w:fldCharType="begin"/>
          </w:r>
          <w:r>
            <w:instrText xml:space="preserve"> PAGEREF _Toc32133 \h </w:instrText>
          </w:r>
          <w:r>
            <w:fldChar w:fldCharType="separate"/>
          </w:r>
          <w:r>
            <w:t>22</w:t>
          </w:r>
          <w:r>
            <w:fldChar w:fldCharType="end"/>
          </w:r>
          <w:r>
            <w:rPr>
              <w:rFonts w:hint="eastAsia" w:ascii="仿宋" w:hAnsi="仿宋" w:eastAsia="仿宋" w:cs="仿宋"/>
              <w:bCs/>
              <w:szCs w:val="24"/>
              <w:lang w:val="en-US" w:eastAsia="zh-CN"/>
            </w:rPr>
            <w:fldChar w:fldCharType="end"/>
          </w:r>
        </w:p>
        <w:p>
          <w:pPr>
            <w:pStyle w:val="7"/>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_Toc19485 </w:instrText>
          </w:r>
          <w:r>
            <w:rPr>
              <w:rFonts w:hint="eastAsia" w:ascii="仿宋" w:hAnsi="仿宋" w:eastAsia="仿宋" w:cs="仿宋"/>
              <w:bCs/>
              <w:szCs w:val="24"/>
              <w:lang w:val="en-US" w:eastAsia="zh-CN"/>
            </w:rPr>
            <w:fldChar w:fldCharType="separate"/>
          </w:r>
          <w:r>
            <w:rPr>
              <w:rFonts w:hint="eastAsia" w:ascii="仿宋" w:hAnsi="仿宋" w:eastAsia="仿宋" w:cs="仿宋"/>
              <w:bCs/>
              <w:szCs w:val="28"/>
              <w:lang w:val="en-US" w:eastAsia="zh-CN"/>
            </w:rPr>
            <w:t>3.5.4 送审结算高估冒算的应对措施</w:t>
          </w:r>
          <w:r>
            <w:tab/>
          </w:r>
          <w:r>
            <w:fldChar w:fldCharType="begin"/>
          </w:r>
          <w:r>
            <w:instrText xml:space="preserve"> PAGEREF _Toc19485 \h </w:instrText>
          </w:r>
          <w:r>
            <w:fldChar w:fldCharType="separate"/>
          </w:r>
          <w:r>
            <w:t>23</w:t>
          </w:r>
          <w:r>
            <w:fldChar w:fldCharType="end"/>
          </w:r>
          <w:r>
            <w:rPr>
              <w:rFonts w:hint="eastAsia" w:ascii="仿宋" w:hAnsi="仿宋" w:eastAsia="仿宋" w:cs="仿宋"/>
              <w:bCs/>
              <w:szCs w:val="24"/>
              <w:lang w:val="en-US" w:eastAsia="zh-CN"/>
            </w:rPr>
            <w:fldChar w:fldCharType="end"/>
          </w:r>
        </w:p>
        <w:p>
          <w:pPr>
            <w:pStyle w:val="6"/>
            <w:tabs>
              <w:tab w:val="right" w:leader="dot" w:pos="8306"/>
            </w:tabs>
          </w:pPr>
          <w:r>
            <w:rPr>
              <w:rFonts w:hint="eastAsia" w:ascii="仿宋" w:hAnsi="仿宋" w:eastAsia="仿宋" w:cs="仿宋"/>
              <w:bCs/>
              <w:szCs w:val="24"/>
              <w:lang w:val="en-US" w:eastAsia="zh-CN"/>
            </w:rPr>
            <w:fldChar w:fldCharType="begin"/>
          </w:r>
          <w:r>
            <w:rPr>
              <w:rFonts w:hint="eastAsia" w:ascii="仿宋" w:hAnsi="仿宋" w:eastAsia="仿宋" w:cs="仿宋"/>
              <w:bCs/>
              <w:szCs w:val="24"/>
              <w:lang w:val="en-US" w:eastAsia="zh-CN"/>
            </w:rPr>
            <w:instrText xml:space="preserve"> HYPERLINK \l _Toc23990 </w:instrText>
          </w:r>
          <w:r>
            <w:rPr>
              <w:rFonts w:hint="eastAsia" w:ascii="仿宋" w:hAnsi="仿宋" w:eastAsia="仿宋" w:cs="仿宋"/>
              <w:bCs/>
              <w:szCs w:val="24"/>
              <w:lang w:val="en-US" w:eastAsia="zh-CN"/>
            </w:rPr>
            <w:fldChar w:fldCharType="separate"/>
          </w:r>
          <w:r>
            <w:rPr>
              <w:rFonts w:hint="eastAsia" w:ascii="仿宋" w:hAnsi="仿宋" w:eastAsia="仿宋" w:cs="仿宋"/>
              <w:bCs/>
              <w:lang w:val="en-US" w:eastAsia="zh-CN"/>
            </w:rPr>
            <w:t>参考文献：</w:t>
          </w:r>
          <w:r>
            <w:tab/>
          </w:r>
          <w:r>
            <w:fldChar w:fldCharType="begin"/>
          </w:r>
          <w:r>
            <w:instrText xml:space="preserve"> PAGEREF _Toc23990 \h </w:instrText>
          </w:r>
          <w:r>
            <w:fldChar w:fldCharType="separate"/>
          </w:r>
          <w:r>
            <w:t>23</w:t>
          </w:r>
          <w:r>
            <w:fldChar w:fldCharType="end"/>
          </w:r>
          <w:r>
            <w:rPr>
              <w:rFonts w:hint="eastAsia" w:ascii="仿宋" w:hAnsi="仿宋" w:eastAsia="仿宋" w:cs="仿宋"/>
              <w:bCs/>
              <w:szCs w:val="24"/>
              <w:lang w:val="en-US" w:eastAsia="zh-CN"/>
            </w:rPr>
            <w:fldChar w:fldCharType="end"/>
          </w:r>
        </w:p>
        <w:p>
          <w:pPr>
            <w:numPr>
              <w:ilvl w:val="0"/>
              <w:numId w:val="0"/>
            </w:numPr>
            <w:jc w:val="both"/>
            <w:outlineLvl w:val="0"/>
            <w:rPr>
              <w:rFonts w:hint="eastAsia" w:ascii="仿宋" w:hAnsi="仿宋" w:eastAsia="仿宋" w:cs="仿宋"/>
              <w:b/>
              <w:bCs/>
              <w:sz w:val="28"/>
              <w:szCs w:val="28"/>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cols w:space="720" w:num="1"/>
              <w:docGrid w:type="lines" w:linePitch="312" w:charSpace="0"/>
            </w:sectPr>
          </w:pPr>
          <w:r>
            <w:rPr>
              <w:rFonts w:hint="eastAsia" w:ascii="仿宋" w:hAnsi="仿宋" w:eastAsia="仿宋" w:cs="仿宋"/>
              <w:bCs/>
              <w:szCs w:val="24"/>
              <w:lang w:val="en-US" w:eastAsia="zh-CN"/>
            </w:rPr>
            <w:fldChar w:fldCharType="end"/>
          </w:r>
          <w:bookmarkStart w:id="67" w:name="_GoBack"/>
          <w:bookmarkEnd w:id="67"/>
        </w:p>
      </w:sdtContent>
    </w:sdt>
    <w:p>
      <w:pPr>
        <w:numPr>
          <w:ilvl w:val="0"/>
          <w:numId w:val="0"/>
        </w:numPr>
        <w:jc w:val="both"/>
        <w:outlineLvl w:val="0"/>
        <w:rPr>
          <w:rFonts w:hint="eastAsia" w:ascii="仿宋" w:hAnsi="仿宋" w:eastAsia="仿宋" w:cs="仿宋"/>
          <w:b/>
          <w:bCs/>
          <w:sz w:val="28"/>
          <w:szCs w:val="28"/>
          <w:lang w:val="en-US" w:eastAsia="zh-CN"/>
        </w:rPr>
      </w:pPr>
      <w:bookmarkStart w:id="0" w:name="_Toc9415"/>
      <w:r>
        <w:rPr>
          <w:rFonts w:hint="eastAsia" w:ascii="仿宋" w:hAnsi="仿宋" w:eastAsia="仿宋" w:cs="仿宋"/>
          <w:b/>
          <w:bCs/>
          <w:sz w:val="28"/>
          <w:szCs w:val="28"/>
          <w:lang w:val="en-US" w:eastAsia="zh-CN"/>
        </w:rPr>
        <w:t>【引言】</w:t>
      </w:r>
      <w:bookmarkEnd w:id="0"/>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革开放以来，我国工程咨询服务市场化快速发展，形成了投资咨询、招标代理、勘察、设计、监理、造价、项目管理等专业化的咨询服务业态，部分专业咨询服务建立了执业准入制度，促进了我国工程咨询服务专业化水平提升。随着我国固定资产投资项目建设水平逐步提高，为更好地实现投资建设意图，投资者或建设单位在固定资产投资项目决策、工程建设、项目运营过程中，对综合性、跨阶段、一体化的咨询服务需求日益增强。这种需求与现行制度造成的单项服务供给模式之间的矛盾日益突出。</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深入贯彻习近平新时代中国特色社会主义思想和党的十九大精神，深化工程领域咨询服务供给侧结构性改革，破解工程咨询市场供需矛盾，必须完善政策措施，创新咨询服务组织实施方式，大力发展以市场需求为导向、满足委托方多样化需求的全过程工程咨询服务模式。特别是要遵循项目周期规律和建设程序的客观要求，在项目决策和建设实施两个阶段，着力破除制度性障碍，重点培育发展投资决策综合性咨询和工程建设全过程咨询，为固定资产投资及工程建设活动提供高质量智力技术服务，全面提升投资效益、工程建设质量和运营效率，推动高质量发展。</w:t>
      </w:r>
    </w:p>
    <w:p>
      <w:pPr>
        <w:numPr>
          <w:ilvl w:val="0"/>
          <w:numId w:val="0"/>
        </w:numPr>
        <w:ind w:firstLine="560" w:firstLineChars="200"/>
        <w:jc w:val="both"/>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本文从当前工程造价全过程管理的现状及存在的问题，引出建设项目如何做到</w:t>
      </w:r>
      <w:r>
        <w:rPr>
          <w:rFonts w:hint="eastAsia" w:ascii="仿宋" w:hAnsi="仿宋" w:eastAsia="仿宋" w:cs="仿宋"/>
          <w:b w:val="0"/>
          <w:bCs w:val="0"/>
          <w:sz w:val="28"/>
          <w:szCs w:val="28"/>
          <w:lang w:val="en-US" w:eastAsia="zh-CN"/>
        </w:rPr>
        <w:t>全过程精细化管控</w:t>
      </w:r>
      <w:r>
        <w:rPr>
          <w:rFonts w:hint="eastAsia" w:ascii="仿宋" w:hAnsi="仿宋" w:eastAsia="仿宋" w:cs="仿宋"/>
          <w:sz w:val="28"/>
          <w:szCs w:val="28"/>
          <w:lang w:val="en-US" w:eastAsia="zh-CN"/>
        </w:rPr>
        <w:t>，如何做好以投资为核心的工程造价</w:t>
      </w:r>
      <w:r>
        <w:rPr>
          <w:rFonts w:hint="eastAsia" w:ascii="仿宋" w:hAnsi="仿宋" w:eastAsia="仿宋" w:cs="仿宋"/>
          <w:color w:val="auto"/>
          <w:sz w:val="28"/>
          <w:szCs w:val="28"/>
          <w:lang w:val="en-US" w:eastAsia="zh-CN"/>
        </w:rPr>
        <w:t>全过程项目管理</w:t>
      </w:r>
      <w:r>
        <w:rPr>
          <w:rFonts w:hint="eastAsia" w:ascii="仿宋" w:hAnsi="仿宋" w:eastAsia="仿宋" w:cs="仿宋"/>
          <w:sz w:val="28"/>
          <w:szCs w:val="28"/>
          <w:lang w:val="en-US" w:eastAsia="zh-CN"/>
        </w:rPr>
        <w:t>，将建设项目关键的六个环</w:t>
      </w:r>
      <w:r>
        <w:rPr>
          <w:rFonts w:hint="eastAsia" w:ascii="仿宋" w:hAnsi="仿宋" w:eastAsia="仿宋" w:cs="仿宋"/>
          <w:sz w:val="28"/>
          <w:szCs w:val="28"/>
          <w:highlight w:val="none"/>
          <w:lang w:val="en-US" w:eastAsia="zh-CN"/>
        </w:rPr>
        <w:t>节点</w:t>
      </w:r>
      <w:r>
        <w:rPr>
          <w:rFonts w:hint="eastAsia" w:ascii="仿宋" w:hAnsi="仿宋" w:eastAsia="仿宋" w:cs="仿宋"/>
          <w:sz w:val="28"/>
          <w:szCs w:val="28"/>
          <w:lang w:val="en-US" w:eastAsia="zh-CN"/>
        </w:rPr>
        <w:t>进行分析，</w:t>
      </w:r>
      <w:r>
        <w:rPr>
          <w:rFonts w:hint="eastAsia" w:ascii="仿宋_GB2312" w:hAnsi="仿宋_GB2312" w:eastAsia="仿宋_GB2312" w:cs="仿宋_GB2312"/>
          <w:color w:val="auto"/>
          <w:sz w:val="28"/>
          <w:szCs w:val="28"/>
          <w:lang w:val="en-US" w:eastAsia="zh-CN"/>
        </w:rPr>
        <w:t>结合实践经验提出工程造价全过程精细化管理工作的思路和要点</w:t>
      </w:r>
      <w:r>
        <w:rPr>
          <w:rFonts w:hint="eastAsia" w:ascii="仿宋" w:hAnsi="仿宋" w:eastAsia="仿宋" w:cs="仿宋"/>
          <w:sz w:val="28"/>
          <w:szCs w:val="28"/>
          <w:lang w:val="en-US" w:eastAsia="zh-CN"/>
        </w:rPr>
        <w:t>，供探讨参</w:t>
      </w:r>
      <w:r>
        <w:rPr>
          <w:rFonts w:hint="eastAsia" w:ascii="仿宋" w:hAnsi="仿宋" w:eastAsia="仿宋" w:cs="仿宋"/>
          <w:b w:val="0"/>
          <w:bCs w:val="0"/>
          <w:sz w:val="28"/>
          <w:szCs w:val="28"/>
          <w:lang w:val="en-US" w:eastAsia="zh-CN"/>
        </w:rPr>
        <w:t>考。</w:t>
      </w:r>
    </w:p>
    <w:p>
      <w:pPr>
        <w:numPr>
          <w:ilvl w:val="0"/>
          <w:numId w:val="0"/>
        </w:numPr>
        <w:jc w:val="both"/>
        <w:outlineLvl w:val="0"/>
        <w:rPr>
          <w:rFonts w:hint="default" w:ascii="仿宋" w:hAnsi="仿宋" w:eastAsia="仿宋" w:cs="仿宋"/>
          <w:b/>
          <w:bCs/>
          <w:sz w:val="28"/>
          <w:szCs w:val="28"/>
          <w:lang w:val="en-US" w:eastAsia="zh-CN"/>
        </w:rPr>
      </w:pPr>
      <w:bookmarkStart w:id="1" w:name="_Toc20255"/>
      <w:r>
        <w:rPr>
          <w:rFonts w:hint="eastAsia" w:ascii="仿宋" w:hAnsi="仿宋" w:eastAsia="仿宋" w:cs="仿宋"/>
          <w:b/>
          <w:bCs/>
          <w:sz w:val="28"/>
          <w:szCs w:val="28"/>
          <w:lang w:val="en-US" w:eastAsia="zh-CN"/>
        </w:rPr>
        <w:t>【正文】</w:t>
      </w:r>
      <w:bookmarkEnd w:id="1"/>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200" w:right="0" w:rightChars="0"/>
        <w:textAlignment w:val="auto"/>
        <w:outlineLvl w:val="0"/>
        <w:rPr>
          <w:rFonts w:hint="eastAsia" w:ascii="仿宋" w:hAnsi="仿宋" w:eastAsia="仿宋" w:cs="仿宋"/>
          <w:b/>
          <w:bCs/>
          <w:sz w:val="28"/>
          <w:lang w:eastAsia="zh-CN"/>
        </w:rPr>
      </w:pPr>
      <w:bookmarkStart w:id="2" w:name="_Toc19986"/>
      <w:r>
        <w:rPr>
          <w:rFonts w:hint="eastAsia" w:ascii="仿宋" w:hAnsi="仿宋" w:eastAsia="仿宋" w:cs="仿宋"/>
          <w:b/>
          <w:bCs/>
          <w:sz w:val="28"/>
          <w:lang w:val="en-US" w:eastAsia="zh-CN"/>
        </w:rPr>
        <w:t>1.</w:t>
      </w:r>
      <w:r>
        <w:rPr>
          <w:rFonts w:hint="eastAsia" w:ascii="仿宋" w:hAnsi="仿宋" w:eastAsia="仿宋" w:cs="仿宋"/>
          <w:b/>
          <w:bCs/>
          <w:sz w:val="28"/>
          <w:lang w:eastAsia="zh-CN"/>
        </w:rPr>
        <w:t>工程造价全过程管理的现状</w:t>
      </w:r>
      <w:bookmarkEnd w:id="2"/>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十多年来，随着我国建筑业的快速发展，我国工程造价领域正在经历"由政府指导定价走向市场形成造价""由传统的定额法计价转变为清单法计价""营业税改为增值税"三大变革。在这样一个巨大的变更时代，在工程造价领域出现了一些不合常规的现象∶一方面是业主方工程投资管理中出现"造价一超再超、工期一拖再拖"，外行口中“工期马拉松，投资无底洞”，另一方面是作为承包方的施工企业为成本失控、利润低下甚至亏损而叫苦不迭。而这样一个不合常规的事实却在我国建筑业快速发展的这十多年发生的。最终导致施工单位过程亏损与业主单位纠缠扯皮不清、相互指责抱怨的"剪不断、理还乱"的无序状态。</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200" w:right="0" w:rightChars="0"/>
        <w:textAlignment w:val="auto"/>
        <w:outlineLvl w:val="0"/>
        <w:rPr>
          <w:rFonts w:hint="eastAsia" w:ascii="仿宋" w:hAnsi="仿宋" w:eastAsia="仿宋" w:cs="仿宋"/>
          <w:b/>
          <w:bCs/>
          <w:sz w:val="28"/>
          <w:lang w:val="en-US" w:eastAsia="zh-CN"/>
        </w:rPr>
      </w:pPr>
      <w:bookmarkStart w:id="3" w:name="_Toc28277"/>
      <w:r>
        <w:rPr>
          <w:rFonts w:hint="eastAsia" w:ascii="仿宋" w:hAnsi="仿宋" w:eastAsia="仿宋" w:cs="仿宋"/>
          <w:b/>
          <w:bCs/>
          <w:sz w:val="28"/>
          <w:lang w:val="en-US" w:eastAsia="zh-CN"/>
        </w:rPr>
        <w:t>2.造价全过程管理普遍存在的问题</w:t>
      </w:r>
      <w:bookmarkEnd w:id="3"/>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2" w:firstLineChars="200"/>
        <w:textAlignment w:val="auto"/>
        <w:outlineLvl w:val="1"/>
        <w:rPr>
          <w:rFonts w:hint="eastAsia" w:ascii="仿宋" w:hAnsi="仿宋" w:eastAsia="仿宋" w:cs="仿宋"/>
          <w:b/>
          <w:bCs/>
          <w:sz w:val="28"/>
          <w:lang w:val="en-US" w:eastAsia="zh-CN"/>
        </w:rPr>
      </w:pPr>
      <w:bookmarkStart w:id="4" w:name="_Toc30565"/>
      <w:bookmarkStart w:id="5" w:name="_Toc12297"/>
      <w:bookmarkStart w:id="6" w:name="_Toc19911"/>
      <w:r>
        <w:rPr>
          <w:rFonts w:hint="eastAsia" w:ascii="仿宋" w:hAnsi="仿宋" w:eastAsia="仿宋" w:cs="仿宋"/>
          <w:b/>
          <w:bCs/>
          <w:sz w:val="28"/>
          <w:lang w:val="en-US" w:eastAsia="zh-CN"/>
        </w:rPr>
        <w:t>2.1 企业层面缺乏一套全面系统的“价税双控管理体系”</w:t>
      </w:r>
      <w:bookmarkEnd w:id="4"/>
      <w:bookmarkEnd w:id="5"/>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增值税管理不仅仅是财务部门的事情，企业后方的项目部、审计部、成本合约部、财务部等多个相关部门之间价税动态联动控制体系，部门对接不到位，价税控制如同一盘散沙，企业层面缺乏一套全面系统的“</w:t>
      </w:r>
      <w:r>
        <w:rPr>
          <w:rFonts w:hint="eastAsia" w:ascii="仿宋" w:hAnsi="仿宋" w:eastAsia="仿宋" w:cs="仿宋"/>
          <w:b/>
          <w:bCs/>
          <w:kern w:val="2"/>
          <w:sz w:val="28"/>
          <w:szCs w:val="28"/>
          <w:lang w:val="en-US" w:eastAsia="zh-CN" w:bidi="ar-SA"/>
        </w:rPr>
        <w:t>价税双控管理体系</w:t>
      </w:r>
      <w:r>
        <w:rPr>
          <w:rFonts w:hint="eastAsia" w:ascii="仿宋" w:hAnsi="仿宋" w:eastAsia="仿宋" w:cs="仿宋"/>
          <w:b w:val="0"/>
          <w:bCs w:val="0"/>
          <w:kern w:val="2"/>
          <w:sz w:val="28"/>
          <w:szCs w:val="28"/>
          <w:lang w:val="en-US" w:eastAsia="zh-CN" w:bidi="ar-SA"/>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2" w:firstLineChars="200"/>
        <w:textAlignment w:val="auto"/>
        <w:outlineLvl w:val="1"/>
        <w:rPr>
          <w:rFonts w:hint="eastAsia" w:ascii="仿宋" w:hAnsi="仿宋" w:eastAsia="仿宋" w:cs="仿宋"/>
          <w:b/>
          <w:bCs/>
          <w:sz w:val="28"/>
          <w:lang w:val="en-US" w:eastAsia="zh-CN"/>
        </w:rPr>
      </w:pPr>
      <w:bookmarkStart w:id="7" w:name="_Toc21447"/>
      <w:bookmarkStart w:id="8" w:name="_Toc28486"/>
      <w:r>
        <w:rPr>
          <w:rFonts w:hint="eastAsia" w:ascii="仿宋" w:hAnsi="仿宋" w:eastAsia="仿宋" w:cs="仿宋"/>
          <w:b/>
          <w:bCs/>
          <w:sz w:val="28"/>
          <w:lang w:val="en-US" w:eastAsia="zh-CN"/>
        </w:rPr>
        <w:t>2.2 项目层面缺乏一套价税全过程管理流程</w:t>
      </w:r>
      <w:bookmarkEnd w:id="7"/>
      <w:bookmarkEnd w:id="8"/>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hint="eastAsia" w:ascii="仿宋" w:hAnsi="仿宋" w:eastAsia="仿宋" w:cs="仿宋"/>
          <w:sz w:val="28"/>
          <w:lang w:eastAsia="zh-CN"/>
        </w:rPr>
      </w:pPr>
      <w:r>
        <w:rPr>
          <w:rFonts w:hint="eastAsia" w:ascii="仿宋" w:hAnsi="仿宋" w:eastAsia="仿宋" w:cs="仿宋"/>
          <w:sz w:val="28"/>
          <w:lang w:val="en-US" w:eastAsia="zh-CN"/>
        </w:rPr>
        <w:t>对于项目最终结算价</w:t>
      </w:r>
      <w:r>
        <w:rPr>
          <w:rFonts w:hint="eastAsia" w:ascii="仿宋" w:hAnsi="仿宋" w:eastAsia="仿宋" w:cs="仿宋"/>
          <w:sz w:val="28"/>
          <w:lang w:eastAsia="zh-CN"/>
        </w:rPr>
        <w:t>只关注项目结算阶段的核算，而</w:t>
      </w:r>
      <w:r>
        <w:rPr>
          <w:rFonts w:hint="eastAsia" w:ascii="仿宋" w:hAnsi="仿宋" w:eastAsia="仿宋" w:cs="仿宋"/>
          <w:sz w:val="28"/>
          <w:lang w:val="en-US" w:eastAsia="zh-CN"/>
        </w:rPr>
        <w:t>缺乏招标、合同策划环节的“事前”管理，也缺乏</w:t>
      </w:r>
      <w:r>
        <w:rPr>
          <w:rFonts w:hint="eastAsia" w:ascii="仿宋" w:hAnsi="仿宋" w:eastAsia="仿宋" w:cs="仿宋"/>
          <w:sz w:val="28"/>
          <w:lang w:eastAsia="zh-CN"/>
        </w:rPr>
        <w:t>施工阶段的“事中”精细过程跟踪控制。事后算总账</w:t>
      </w:r>
      <w:r>
        <w:rPr>
          <w:rFonts w:hint="eastAsia" w:ascii="仿宋" w:hAnsi="仿宋" w:eastAsia="仿宋" w:cs="仿宋"/>
          <w:sz w:val="28"/>
          <w:lang w:val="en-US" w:eastAsia="zh-CN"/>
        </w:rPr>
        <w:t>的</w:t>
      </w:r>
      <w:r>
        <w:rPr>
          <w:rFonts w:hint="eastAsia" w:ascii="仿宋" w:hAnsi="仿宋" w:eastAsia="仿宋" w:cs="仿宋"/>
          <w:sz w:val="28"/>
          <w:lang w:eastAsia="zh-CN"/>
        </w:rPr>
        <w:t>传统</w:t>
      </w:r>
      <w:r>
        <w:rPr>
          <w:rFonts w:hint="eastAsia" w:ascii="仿宋" w:hAnsi="仿宋" w:eastAsia="仿宋" w:cs="仿宋"/>
          <w:sz w:val="28"/>
          <w:lang w:val="en-US" w:eastAsia="zh-CN"/>
        </w:rPr>
        <w:t>固化思路，</w:t>
      </w:r>
      <w:r>
        <w:rPr>
          <w:rFonts w:hint="eastAsia" w:ascii="仿宋" w:hAnsi="仿宋" w:eastAsia="仿宋" w:cs="仿宋"/>
          <w:sz w:val="28"/>
          <w:lang w:eastAsia="zh-CN"/>
        </w:rPr>
        <w:t>必须转变为事前、事中算细账</w:t>
      </w:r>
      <w:r>
        <w:rPr>
          <w:rFonts w:hint="eastAsia" w:ascii="仿宋" w:hAnsi="仿宋" w:eastAsia="仿宋" w:cs="仿宋"/>
          <w:sz w:val="28"/>
          <w:lang w:val="en-US" w:eastAsia="zh-CN"/>
        </w:rPr>
        <w:t>的新思路</w:t>
      </w:r>
      <w:r>
        <w:rPr>
          <w:rFonts w:hint="eastAsia" w:ascii="仿宋" w:hAnsi="仿宋" w:eastAsia="仿宋" w:cs="仿宋"/>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仿宋" w:hAnsi="仿宋" w:eastAsia="仿宋" w:cs="仿宋"/>
          <w:b/>
          <w:bCs w:val="0"/>
          <w:sz w:val="28"/>
          <w:szCs w:val="28"/>
          <w:lang w:val="en-US" w:eastAsia="zh-CN"/>
        </w:rPr>
      </w:pPr>
      <w:bookmarkStart w:id="9" w:name="_Toc32011"/>
      <w:r>
        <w:rPr>
          <w:rFonts w:hint="eastAsia" w:ascii="仿宋" w:hAnsi="仿宋" w:eastAsia="仿宋" w:cs="仿宋"/>
          <w:b/>
          <w:bCs w:val="0"/>
          <w:sz w:val="28"/>
          <w:szCs w:val="28"/>
          <w:lang w:val="en-US" w:eastAsia="zh-CN"/>
        </w:rPr>
        <w:t>2.3 合同条款粗放策划不到位</w:t>
      </w:r>
      <w:bookmarkEnd w:id="6"/>
      <w:bookmarkEnd w:id="9"/>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合同是双方的最高行为准则，</w:t>
      </w:r>
      <w:r>
        <w:rPr>
          <w:rFonts w:hint="default" w:ascii="仿宋" w:hAnsi="仿宋" w:eastAsia="仿宋" w:cs="仿宋"/>
          <w:sz w:val="28"/>
          <w:szCs w:val="28"/>
          <w:lang w:val="en-US" w:eastAsia="zh-CN"/>
        </w:rPr>
        <w:t>合同策划是工程项目的</w:t>
      </w:r>
      <w:r>
        <w:rPr>
          <w:rFonts w:hint="eastAsia" w:ascii="仿宋" w:hAnsi="仿宋" w:eastAsia="仿宋" w:cs="仿宋"/>
          <w:sz w:val="28"/>
          <w:szCs w:val="28"/>
          <w:lang w:val="en-US" w:eastAsia="zh-CN"/>
        </w:rPr>
        <w:t>一个重大环节，</w:t>
      </w:r>
      <w:r>
        <w:rPr>
          <w:rFonts w:hint="default" w:ascii="仿宋" w:hAnsi="仿宋" w:eastAsia="仿宋" w:cs="仿宋"/>
          <w:sz w:val="28"/>
          <w:szCs w:val="28"/>
          <w:lang w:val="en-US" w:eastAsia="zh-CN"/>
        </w:rPr>
        <w:t>它对整个项目的顺利实施有根本性的影响</w:t>
      </w:r>
      <w:r>
        <w:rPr>
          <w:rFonts w:hint="eastAsia" w:ascii="仿宋" w:hAnsi="仿宋" w:eastAsia="仿宋" w:cs="仿宋"/>
          <w:sz w:val="28"/>
          <w:szCs w:val="28"/>
          <w:lang w:val="en-US" w:eastAsia="zh-CN"/>
        </w:rPr>
        <w:t>。成本合约部、项目部、财务部、审计部等在合同策划环节出现“两张皮”现象。合同策划是工程项目争议及造价</w:t>
      </w:r>
      <w:r>
        <w:rPr>
          <w:rFonts w:hint="eastAsia" w:ascii="仿宋" w:hAnsi="仿宋" w:eastAsia="仿宋" w:cs="仿宋"/>
          <w:b/>
          <w:bCs/>
          <w:sz w:val="28"/>
          <w:szCs w:val="28"/>
          <w:lang w:val="en-US" w:eastAsia="zh-CN"/>
        </w:rPr>
        <w:t>事前控制</w:t>
      </w:r>
      <w:r>
        <w:rPr>
          <w:rFonts w:hint="eastAsia" w:ascii="仿宋" w:hAnsi="仿宋" w:eastAsia="仿宋" w:cs="仿宋"/>
          <w:sz w:val="28"/>
          <w:szCs w:val="28"/>
          <w:lang w:val="en-US" w:eastAsia="zh-CN"/>
        </w:rPr>
        <w:t>的最佳方法。</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2" w:firstLineChars="200"/>
        <w:textAlignment w:val="auto"/>
        <w:outlineLvl w:val="1"/>
        <w:rPr>
          <w:rFonts w:hint="default" w:ascii="仿宋" w:hAnsi="仿宋" w:eastAsia="仿宋" w:cs="仿宋"/>
          <w:b/>
          <w:bCs/>
          <w:sz w:val="28"/>
          <w:lang w:val="en-US" w:eastAsia="zh-CN"/>
        </w:rPr>
      </w:pPr>
      <w:bookmarkStart w:id="10" w:name="_Toc21741"/>
      <w:bookmarkStart w:id="11" w:name="_Toc6640"/>
      <w:bookmarkStart w:id="12" w:name="_Toc18779"/>
      <w:r>
        <w:rPr>
          <w:rFonts w:hint="eastAsia" w:ascii="仿宋" w:hAnsi="仿宋" w:eastAsia="仿宋" w:cs="仿宋"/>
          <w:b/>
          <w:bCs/>
          <w:sz w:val="28"/>
          <w:lang w:val="en-US" w:eastAsia="zh-CN"/>
        </w:rPr>
        <w:t>2.4 增值税计价模式下六方协同不到位</w:t>
      </w:r>
      <w:bookmarkEnd w:id="10"/>
      <w:bookmarkEnd w:id="11"/>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hint="eastAsia" w:ascii="仿宋" w:hAnsi="仿宋" w:eastAsia="仿宋" w:cs="仿宋"/>
          <w:sz w:val="28"/>
          <w:lang w:eastAsia="zh-CN"/>
        </w:rPr>
      </w:pPr>
      <w:r>
        <w:rPr>
          <w:rFonts w:hint="eastAsia" w:ascii="仿宋" w:hAnsi="仿宋" w:eastAsia="仿宋" w:cs="仿宋"/>
          <w:sz w:val="28"/>
          <w:lang w:eastAsia="zh-CN"/>
        </w:rPr>
        <w:t>营改增</w:t>
      </w:r>
      <w:r>
        <w:rPr>
          <w:rFonts w:hint="eastAsia" w:ascii="仿宋" w:hAnsi="仿宋" w:eastAsia="仿宋" w:cs="仿宋"/>
          <w:sz w:val="28"/>
          <w:lang w:val="en-US" w:eastAsia="zh-CN"/>
        </w:rPr>
        <w:t>后的工程造价税金的计算，</w:t>
      </w:r>
      <w:r>
        <w:rPr>
          <w:rFonts w:hint="eastAsia" w:ascii="仿宋" w:hAnsi="仿宋" w:eastAsia="仿宋" w:cs="仿宋"/>
          <w:sz w:val="28"/>
          <w:lang w:eastAsia="zh-CN"/>
        </w:rPr>
        <w:t>首先</w:t>
      </w:r>
      <w:r>
        <w:rPr>
          <w:rFonts w:hint="eastAsia" w:ascii="仿宋" w:hAnsi="仿宋" w:eastAsia="仿宋" w:cs="仿宋"/>
          <w:sz w:val="28"/>
          <w:lang w:val="en-US" w:eastAsia="zh-CN"/>
        </w:rPr>
        <w:t>不仅</w:t>
      </w:r>
      <w:r>
        <w:rPr>
          <w:rFonts w:hint="eastAsia" w:ascii="仿宋" w:hAnsi="仿宋" w:eastAsia="仿宋" w:cs="仿宋"/>
          <w:sz w:val="28"/>
          <w:lang w:eastAsia="zh-CN"/>
        </w:rPr>
        <w:t>财务问题而是合约问题，财务部门管成本，越管越郁闷，项目部管税费，永远都不对。增值税时代必须做到成本、造价、采购、合约、法务、财税</w:t>
      </w:r>
      <w:r>
        <w:rPr>
          <w:rFonts w:hint="eastAsia" w:ascii="仿宋" w:hAnsi="仿宋" w:eastAsia="仿宋" w:cs="仿宋"/>
          <w:b w:val="0"/>
          <w:bCs w:val="0"/>
          <w:sz w:val="28"/>
          <w:lang w:eastAsia="zh-CN"/>
        </w:rPr>
        <w:t>六方协同</w:t>
      </w:r>
      <w:r>
        <w:rPr>
          <w:rFonts w:hint="eastAsia" w:ascii="仿宋" w:hAnsi="仿宋" w:eastAsia="仿宋" w:cs="仿宋"/>
          <w:sz w:val="28"/>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2" w:firstLineChars="200"/>
        <w:textAlignment w:val="auto"/>
        <w:outlineLvl w:val="1"/>
        <w:rPr>
          <w:rFonts w:hint="eastAsia" w:ascii="仿宋" w:hAnsi="仿宋" w:eastAsia="仿宋" w:cs="仿宋"/>
          <w:b/>
          <w:bCs/>
          <w:sz w:val="28"/>
          <w:lang w:eastAsia="zh-CN"/>
        </w:rPr>
      </w:pPr>
      <w:bookmarkStart w:id="13" w:name="_Toc13983"/>
      <w:bookmarkStart w:id="14" w:name="_Toc9258"/>
      <w:r>
        <w:rPr>
          <w:rFonts w:hint="eastAsia" w:ascii="仿宋" w:hAnsi="仿宋" w:eastAsia="仿宋" w:cs="仿宋"/>
          <w:b/>
          <w:bCs/>
          <w:sz w:val="28"/>
          <w:lang w:val="en-US" w:eastAsia="zh-CN"/>
        </w:rPr>
        <w:t>2.5 缺乏价、税双控</w:t>
      </w:r>
      <w:r>
        <w:rPr>
          <w:rFonts w:hint="eastAsia" w:ascii="仿宋" w:hAnsi="仿宋" w:eastAsia="仿宋" w:cs="仿宋"/>
          <w:b/>
          <w:bCs/>
          <w:sz w:val="28"/>
          <w:lang w:eastAsia="zh-CN"/>
        </w:rPr>
        <w:t>手段</w:t>
      </w:r>
      <w:bookmarkEnd w:id="13"/>
      <w:bookmarkEnd w:id="14"/>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hint="eastAsia" w:ascii="仿宋" w:hAnsi="仿宋" w:eastAsia="仿宋" w:cs="仿宋"/>
          <w:color w:val="0000FF"/>
          <w:sz w:val="28"/>
          <w:lang w:eastAsia="zh-CN"/>
        </w:rPr>
      </w:pPr>
      <w:r>
        <w:rPr>
          <w:rFonts w:hint="eastAsia" w:ascii="仿宋" w:hAnsi="仿宋" w:eastAsia="仿宋" w:cs="仿宋"/>
          <w:sz w:val="28"/>
          <w:lang w:val="en-US" w:eastAsia="zh-CN"/>
        </w:rPr>
        <w:t>工程价、税与合同管理割裂，导致后期造价价、税双控缺乏有力的控制手段</w:t>
      </w:r>
      <w:r>
        <w:rPr>
          <w:rFonts w:hint="eastAsia" w:ascii="仿宋" w:hAnsi="仿宋" w:eastAsia="仿宋" w:cs="仿宋"/>
          <w:sz w:val="28"/>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2" w:firstLineChars="200"/>
        <w:textAlignment w:val="auto"/>
        <w:outlineLvl w:val="1"/>
        <w:rPr>
          <w:rFonts w:hint="eastAsia" w:ascii="仿宋" w:hAnsi="仿宋" w:eastAsia="仿宋" w:cs="仿宋"/>
          <w:b/>
          <w:bCs/>
          <w:sz w:val="28"/>
          <w:szCs w:val="28"/>
          <w:lang w:val="en-US" w:eastAsia="zh-CN"/>
        </w:rPr>
      </w:pPr>
      <w:bookmarkStart w:id="15" w:name="_Toc3624"/>
      <w:r>
        <w:rPr>
          <w:rFonts w:hint="eastAsia" w:ascii="仿宋" w:hAnsi="仿宋" w:eastAsia="仿宋" w:cs="仿宋"/>
          <w:b/>
          <w:bCs/>
          <w:sz w:val="28"/>
          <w:szCs w:val="28"/>
          <w:lang w:val="en-US" w:eastAsia="zh-CN"/>
        </w:rPr>
        <w:t>2.6 结算审核税金计算有误、价款调整有误</w:t>
      </w:r>
      <w:bookmarkEnd w:id="12"/>
      <w:bookmarkEnd w:id="15"/>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0" w:firstLineChars="200"/>
        <w:textAlignment w:val="auto"/>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sz w:val="28"/>
          <w:szCs w:val="28"/>
          <w:lang w:val="en-US" w:eastAsia="zh-CN"/>
        </w:rPr>
        <w:t>税金方面：</w:t>
      </w:r>
      <w:r>
        <w:rPr>
          <w:rFonts w:hint="eastAsia" w:ascii="仿宋" w:hAnsi="仿宋" w:eastAsia="仿宋" w:cs="仿宋"/>
          <w:b/>
          <w:bCs/>
          <w:sz w:val="28"/>
          <w:szCs w:val="28"/>
        </w:rPr>
        <w:t>营改增</w:t>
      </w:r>
      <w:r>
        <w:rPr>
          <w:rFonts w:hint="eastAsia" w:ascii="仿宋" w:hAnsi="仿宋" w:eastAsia="仿宋" w:cs="仿宋"/>
          <w:sz w:val="28"/>
          <w:szCs w:val="28"/>
        </w:rPr>
        <w:t>后工程造价计价发生了变化，营业税模式下，承包人应纳税额为已知数，增值税模式下</w:t>
      </w:r>
      <w:r>
        <w:rPr>
          <w:rFonts w:hint="eastAsia" w:ascii="仿宋" w:hAnsi="仿宋" w:eastAsia="仿宋" w:cs="仿宋"/>
          <w:sz w:val="28"/>
          <w:szCs w:val="28"/>
          <w:lang w:val="en-US" w:eastAsia="zh-CN"/>
        </w:rPr>
        <w:t>概预算阶段，</w:t>
      </w:r>
      <w:r>
        <w:rPr>
          <w:rFonts w:hint="eastAsia" w:ascii="仿宋" w:hAnsi="仿宋" w:eastAsia="仿宋" w:cs="仿宋"/>
          <w:sz w:val="28"/>
          <w:szCs w:val="28"/>
        </w:rPr>
        <w:t>承包人应纳税额为未知数，</w:t>
      </w:r>
      <w:r>
        <w:rPr>
          <w:rFonts w:hint="eastAsia" w:ascii="仿宋" w:hAnsi="仿宋" w:eastAsia="仿宋" w:cs="仿宋"/>
          <w:sz w:val="28"/>
          <w:szCs w:val="28"/>
          <w:lang w:val="en-US" w:eastAsia="zh-CN"/>
        </w:rPr>
        <w:t>结算审核人员对营改增后的造价税金计算原理还停留在营业税模式</w:t>
      </w:r>
      <w:r>
        <w:rPr>
          <w:rFonts w:hint="eastAsia" w:ascii="仿宋" w:hAnsi="仿宋" w:eastAsia="仿宋" w:cs="仿宋"/>
          <w:b w:val="0"/>
          <w:bCs w:val="0"/>
          <w:kern w:val="2"/>
          <w:sz w:val="28"/>
          <w:szCs w:val="28"/>
          <w:lang w:val="en-US" w:eastAsia="zh-CN" w:bidi="ar-SA"/>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560" w:firstLineChars="200"/>
        <w:textAlignment w:val="auto"/>
        <w:outlineLvl w:val="9"/>
        <w:rPr>
          <w:rFonts w:hint="eastAsia" w:ascii="仿宋" w:hAnsi="仿宋" w:eastAsia="仿宋" w:cs="仿宋"/>
          <w:b w:val="0"/>
          <w:bCs w:val="0"/>
          <w:sz w:val="28"/>
          <w:lang w:val="en-US" w:eastAsia="zh-CN"/>
        </w:rPr>
      </w:pPr>
      <w:r>
        <w:rPr>
          <w:rFonts w:hint="eastAsia" w:ascii="仿宋" w:hAnsi="仿宋" w:eastAsia="仿宋" w:cs="仿宋"/>
          <w:sz w:val="28"/>
          <w:szCs w:val="28"/>
          <w:lang w:val="en-US" w:eastAsia="zh-CN"/>
        </w:rPr>
        <w:t>价款调整方面：</w:t>
      </w:r>
      <w:r>
        <w:rPr>
          <w:rFonts w:hint="eastAsia" w:ascii="仿宋" w:hAnsi="仿宋" w:eastAsia="仿宋" w:cs="仿宋"/>
          <w:b w:val="0"/>
          <w:bCs w:val="0"/>
          <w:kern w:val="2"/>
          <w:sz w:val="28"/>
          <w:szCs w:val="28"/>
          <w:lang w:val="en-US" w:eastAsia="zh-CN" w:bidi="ar-SA"/>
        </w:rPr>
        <w:t>法律法规变化引发的调整事件，必须要与结合法律、法规、政策结合起来，其中</w:t>
      </w:r>
      <w:r>
        <w:rPr>
          <w:rFonts w:hint="eastAsia" w:ascii="仿宋" w:hAnsi="仿宋" w:eastAsia="仿宋" w:cs="仿宋"/>
          <w:b/>
          <w:bCs/>
          <w:kern w:val="2"/>
          <w:sz w:val="28"/>
          <w:szCs w:val="28"/>
          <w:lang w:val="en-US" w:eastAsia="zh-CN" w:bidi="ar-SA"/>
        </w:rPr>
        <w:t>基准日</w:t>
      </w:r>
      <w:r>
        <w:rPr>
          <w:rFonts w:hint="eastAsia" w:ascii="仿宋" w:hAnsi="仿宋" w:eastAsia="仿宋" w:cs="仿宋"/>
          <w:b w:val="0"/>
          <w:bCs w:val="0"/>
          <w:kern w:val="2"/>
          <w:sz w:val="28"/>
          <w:szCs w:val="28"/>
          <w:lang w:val="en-US" w:eastAsia="zh-CN" w:bidi="ar-SA"/>
        </w:rPr>
        <w:t>是价款调整的重要依据</w:t>
      </w:r>
      <w:r>
        <w:rPr>
          <w:rFonts w:hint="eastAsia" w:ascii="仿宋" w:hAnsi="仿宋" w:eastAsia="仿宋" w:cs="仿宋"/>
          <w:b w:val="0"/>
          <w:bCs w:val="0"/>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仿宋" w:hAnsi="仿宋" w:eastAsia="仿宋" w:cs="仿宋"/>
          <w:b/>
          <w:bCs w:val="0"/>
          <w:sz w:val="28"/>
          <w:szCs w:val="28"/>
          <w:lang w:val="en-US" w:eastAsia="zh-CN"/>
        </w:rPr>
      </w:pPr>
      <w:bookmarkStart w:id="16" w:name="_Toc10174"/>
      <w:bookmarkStart w:id="17" w:name="_Toc157"/>
      <w:r>
        <w:rPr>
          <w:rFonts w:hint="eastAsia" w:ascii="仿宋" w:hAnsi="仿宋" w:eastAsia="仿宋" w:cs="仿宋"/>
          <w:b/>
          <w:bCs w:val="0"/>
          <w:sz w:val="28"/>
          <w:szCs w:val="28"/>
          <w:lang w:val="en-US" w:eastAsia="zh-CN"/>
        </w:rPr>
        <w:t>2.7 资料归档问题</w:t>
      </w:r>
      <w:bookmarkEnd w:id="16"/>
      <w:bookmarkEnd w:id="17"/>
    </w:p>
    <w:p>
      <w:pPr>
        <w:widowControl w:val="0"/>
        <w:numPr>
          <w:ilvl w:val="0"/>
          <w:numId w:val="0"/>
        </w:numPr>
        <w:spacing w:line="240" w:lineRule="auto"/>
        <w:ind w:firstLine="560" w:firstLineChars="20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档案归档是维护工程的历史真实面貌的重要工作，也是审计必不可少的审查内容。资料未及时做好收集和整理、编目和鉴定，资料归档管理意识较弱，造成资料易丢失、查找困难。</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200" w:right="0" w:rightChars="0"/>
        <w:textAlignment w:val="auto"/>
        <w:outlineLvl w:val="0"/>
        <w:rPr>
          <w:rFonts w:hint="default" w:ascii="仿宋" w:hAnsi="仿宋" w:eastAsia="仿宋" w:cs="仿宋"/>
          <w:b/>
          <w:bCs/>
          <w:sz w:val="28"/>
          <w:lang w:val="en-US" w:eastAsia="zh-CN"/>
        </w:rPr>
      </w:pPr>
      <w:bookmarkStart w:id="18" w:name="_Toc16284"/>
      <w:r>
        <w:rPr>
          <w:rFonts w:hint="eastAsia" w:ascii="仿宋" w:hAnsi="仿宋" w:eastAsia="仿宋" w:cs="仿宋"/>
          <w:b/>
          <w:bCs/>
          <w:sz w:val="28"/>
          <w:lang w:val="en-US" w:eastAsia="zh-CN"/>
        </w:rPr>
        <w:t>3.工程造价全过程精细化管理要点</w:t>
      </w:r>
      <w:bookmarkEnd w:id="18"/>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建设项目如何做到全过程精细化管控，如何做好以投资为核心的全过程项目管理，以下从建设项目关键的六个环节进行分析，覆盖了从招投标环节直到项目竣工验收结算阶段。</w:t>
      </w:r>
    </w:p>
    <w:p>
      <w:pPr>
        <w:numPr>
          <w:ilvl w:val="0"/>
          <w:numId w:val="0"/>
        </w:numPr>
        <w:jc w:val="center"/>
        <w:outlineLvl w:val="0"/>
        <w:rPr>
          <w:rFonts w:hint="eastAsia" w:ascii="仿宋" w:hAnsi="仿宋" w:eastAsia="仿宋" w:cs="仿宋"/>
          <w:b/>
          <w:bCs/>
          <w:sz w:val="28"/>
          <w:szCs w:val="28"/>
          <w:lang w:val="en-US" w:eastAsia="zh-CN"/>
        </w:rPr>
      </w:pPr>
      <w:bookmarkStart w:id="19" w:name="_Toc29789"/>
      <w:bookmarkStart w:id="20" w:name="_Toc14991"/>
      <w:r>
        <w:rPr>
          <w:rFonts w:hint="eastAsia" w:ascii="仿宋" w:hAnsi="仿宋" w:eastAsia="仿宋" w:cs="仿宋"/>
          <w:b/>
          <w:bCs/>
          <w:sz w:val="28"/>
          <w:szCs w:val="28"/>
          <w:lang w:val="en-US" w:eastAsia="zh-CN"/>
        </w:rPr>
        <w:t xml:space="preserve">3.1 </w:t>
      </w:r>
      <w:r>
        <w:rPr>
          <w:rFonts w:hint="eastAsia" w:ascii="仿宋" w:hAnsi="仿宋" w:eastAsia="仿宋" w:cs="仿宋"/>
          <w:b/>
          <w:bCs/>
          <w:sz w:val="28"/>
          <w:szCs w:val="28"/>
        </w:rPr>
        <w:t>招投标环节精细化管控</w:t>
      </w:r>
      <w:r>
        <w:rPr>
          <w:rFonts w:hint="eastAsia" w:ascii="仿宋" w:hAnsi="仿宋" w:eastAsia="仿宋" w:cs="仿宋"/>
          <w:b/>
          <w:bCs/>
          <w:sz w:val="28"/>
          <w:szCs w:val="28"/>
          <w:lang w:val="en-US" w:eastAsia="zh-CN"/>
        </w:rPr>
        <w:t>环节</w:t>
      </w:r>
      <w:bookmarkEnd w:id="19"/>
      <w:bookmarkEnd w:id="20"/>
    </w:p>
    <w:p>
      <w:pPr>
        <w:widowControl w:val="0"/>
        <w:numPr>
          <w:ilvl w:val="0"/>
          <w:numId w:val="0"/>
        </w:numPr>
        <w:tabs>
          <w:tab w:val="left" w:pos="312"/>
        </w:tabs>
        <w:jc w:val="left"/>
        <w:outlineLvl w:val="1"/>
        <w:rPr>
          <w:rFonts w:hint="eastAsia" w:ascii="仿宋" w:hAnsi="仿宋" w:eastAsia="仿宋" w:cs="仿宋"/>
          <w:b/>
          <w:bCs/>
          <w:sz w:val="28"/>
          <w:szCs w:val="28"/>
        </w:rPr>
      </w:pPr>
      <w:bookmarkStart w:id="21" w:name="_Toc28865"/>
      <w:bookmarkStart w:id="22" w:name="_Toc7629"/>
      <w:r>
        <w:rPr>
          <w:rFonts w:hint="eastAsia" w:ascii="仿宋" w:hAnsi="仿宋" w:eastAsia="仿宋" w:cs="仿宋"/>
          <w:b/>
          <w:bCs/>
          <w:sz w:val="28"/>
          <w:szCs w:val="28"/>
          <w:lang w:val="en-US" w:eastAsia="zh-CN"/>
        </w:rPr>
        <w:t xml:space="preserve">3.1.1 </w:t>
      </w:r>
      <w:r>
        <w:rPr>
          <w:rFonts w:hint="eastAsia" w:ascii="仿宋" w:hAnsi="仿宋" w:eastAsia="仿宋" w:cs="仿宋"/>
          <w:b/>
          <w:bCs/>
          <w:sz w:val="28"/>
          <w:szCs w:val="28"/>
        </w:rPr>
        <w:t>招标中工程量清单编制常见错误及应对策略</w:t>
      </w:r>
      <w:bookmarkEnd w:id="21"/>
      <w:bookmarkEnd w:id="22"/>
    </w:p>
    <w:p>
      <w:pPr>
        <w:widowControl w:val="0"/>
        <w:numPr>
          <w:ilvl w:val="0"/>
          <w:numId w:val="0"/>
        </w:numPr>
        <w:spacing w:line="240" w:lineRule="auto"/>
        <w:ind w:firstLine="560" w:firstLineChars="200"/>
        <w:jc w:val="left"/>
        <w:outlineLvl w:val="9"/>
        <w:rPr>
          <w:rFonts w:hint="eastAsia" w:ascii="仿宋" w:hAnsi="仿宋" w:eastAsia="仿宋" w:cs="仿宋"/>
          <w:sz w:val="28"/>
          <w:szCs w:val="28"/>
        </w:rPr>
      </w:pPr>
      <w:r>
        <w:rPr>
          <w:rFonts w:hint="eastAsia" w:ascii="仿宋" w:hAnsi="仿宋" w:eastAsia="仿宋" w:cs="仿宋"/>
          <w:sz w:val="28"/>
          <w:szCs w:val="28"/>
          <w:lang w:val="en-US" w:eastAsia="zh-CN"/>
        </w:rPr>
        <w:t>经调查工程量清单常见的错误有以下三种情况：</w:t>
      </w:r>
      <w:r>
        <w:rPr>
          <w:rFonts w:hint="eastAsia" w:ascii="仿宋" w:hAnsi="仿宋" w:eastAsia="仿宋" w:cs="仿宋"/>
          <w:sz w:val="28"/>
          <w:szCs w:val="28"/>
          <w:lang w:eastAsia="zh-CN"/>
        </w:rPr>
        <w:t>①</w:t>
      </w:r>
      <w:r>
        <w:rPr>
          <w:rFonts w:hint="eastAsia" w:ascii="仿宋" w:hAnsi="仿宋" w:eastAsia="仿宋" w:cs="仿宋"/>
          <w:sz w:val="28"/>
          <w:szCs w:val="28"/>
          <w:lang w:val="en-US" w:eastAsia="zh-CN"/>
        </w:rPr>
        <w:t>清单</w:t>
      </w:r>
      <w:r>
        <w:rPr>
          <w:rFonts w:hint="eastAsia" w:ascii="仿宋" w:hAnsi="仿宋" w:eastAsia="仿宋" w:cs="仿宋"/>
          <w:sz w:val="28"/>
          <w:szCs w:val="28"/>
        </w:rPr>
        <w:t>漏项、重项</w:t>
      </w:r>
      <w:r>
        <w:rPr>
          <w:rFonts w:hint="eastAsia" w:ascii="仿宋" w:hAnsi="仿宋" w:eastAsia="仿宋" w:cs="仿宋"/>
          <w:sz w:val="28"/>
          <w:szCs w:val="28"/>
          <w:lang w:eastAsia="zh-CN"/>
        </w:rPr>
        <w:t>；②</w:t>
      </w:r>
      <w:r>
        <w:rPr>
          <w:rFonts w:hint="eastAsia" w:ascii="仿宋" w:hAnsi="仿宋" w:eastAsia="仿宋" w:cs="仿宋"/>
          <w:sz w:val="28"/>
          <w:szCs w:val="28"/>
          <w:lang w:val="en-US" w:eastAsia="zh-CN"/>
        </w:rPr>
        <w:t>项目</w:t>
      </w:r>
      <w:r>
        <w:rPr>
          <w:rFonts w:hint="eastAsia" w:ascii="仿宋" w:hAnsi="仿宋" w:eastAsia="仿宋" w:cs="仿宋"/>
          <w:sz w:val="28"/>
          <w:szCs w:val="28"/>
        </w:rPr>
        <w:t>特征描述错误</w:t>
      </w:r>
      <w:r>
        <w:rPr>
          <w:rFonts w:hint="eastAsia" w:ascii="仿宋" w:hAnsi="仿宋" w:eastAsia="仿宋" w:cs="仿宋"/>
          <w:sz w:val="28"/>
          <w:szCs w:val="28"/>
          <w:lang w:eastAsia="zh-CN"/>
        </w:rPr>
        <w:t>；③</w:t>
      </w:r>
      <w:r>
        <w:rPr>
          <w:rFonts w:hint="eastAsia" w:ascii="仿宋" w:hAnsi="仿宋" w:eastAsia="仿宋" w:cs="仿宋"/>
          <w:sz w:val="28"/>
          <w:szCs w:val="28"/>
        </w:rPr>
        <w:t>工程量计算错误。</w:t>
      </w:r>
    </w:p>
    <w:p>
      <w:pPr>
        <w:widowControl w:val="0"/>
        <w:numPr>
          <w:ilvl w:val="0"/>
          <w:numId w:val="0"/>
        </w:numPr>
        <w:tabs>
          <w:tab w:val="left" w:pos="312"/>
        </w:tabs>
        <w:ind w:leftChars="100" w:firstLine="281" w:firstLineChars="100"/>
        <w:jc w:val="left"/>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（1）清单</w:t>
      </w:r>
      <w:r>
        <w:rPr>
          <w:rFonts w:hint="eastAsia" w:ascii="仿宋" w:hAnsi="仿宋" w:eastAsia="仿宋" w:cs="仿宋"/>
          <w:b/>
          <w:bCs/>
          <w:sz w:val="28"/>
          <w:szCs w:val="28"/>
        </w:rPr>
        <w:t>漏项、重项</w:t>
      </w:r>
      <w:r>
        <w:rPr>
          <w:rFonts w:hint="eastAsia" w:ascii="仿宋" w:hAnsi="仿宋" w:eastAsia="仿宋" w:cs="仿宋"/>
          <w:b/>
          <w:bCs/>
          <w:sz w:val="28"/>
          <w:szCs w:val="28"/>
          <w:lang w:val="en-US" w:eastAsia="zh-CN"/>
        </w:rPr>
        <w:t>的原因分析及应对策略</w:t>
      </w:r>
    </w:p>
    <w:p>
      <w:pPr>
        <w:widowControl w:val="0"/>
        <w:numPr>
          <w:ilvl w:val="0"/>
          <w:numId w:val="0"/>
        </w:numPr>
        <w:spacing w:line="240" w:lineRule="auto"/>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原因分析：</w:t>
      </w:r>
      <w:r>
        <w:rPr>
          <w:rFonts w:hint="eastAsia" w:ascii="仿宋" w:hAnsi="仿宋" w:eastAsia="仿宋" w:cs="仿宋"/>
          <w:sz w:val="28"/>
          <w:szCs w:val="28"/>
        </w:rPr>
        <w:t>定额</w:t>
      </w:r>
      <w:r>
        <w:rPr>
          <w:rFonts w:hint="eastAsia" w:ascii="仿宋" w:hAnsi="仿宋" w:eastAsia="仿宋" w:cs="仿宋"/>
          <w:sz w:val="28"/>
          <w:szCs w:val="28"/>
          <w:lang w:val="en-US" w:eastAsia="zh-CN"/>
        </w:rPr>
        <w:t>子目</w:t>
      </w:r>
      <w:r>
        <w:rPr>
          <w:rFonts w:hint="eastAsia" w:ascii="仿宋" w:hAnsi="仿宋" w:eastAsia="仿宋" w:cs="仿宋"/>
          <w:sz w:val="28"/>
          <w:szCs w:val="28"/>
        </w:rPr>
        <w:t>列项设置原理与清单项设置原理不一样</w:t>
      </w:r>
      <w:r>
        <w:rPr>
          <w:rFonts w:hint="eastAsia" w:ascii="仿宋" w:hAnsi="仿宋" w:eastAsia="仿宋" w:cs="仿宋"/>
          <w:sz w:val="28"/>
          <w:szCs w:val="28"/>
          <w:lang w:eastAsia="zh-CN"/>
        </w:rPr>
        <w:t>，</w:t>
      </w:r>
      <w:r>
        <w:rPr>
          <w:rFonts w:hint="eastAsia" w:ascii="仿宋" w:hAnsi="仿宋" w:eastAsia="仿宋" w:cs="仿宋"/>
          <w:sz w:val="28"/>
          <w:szCs w:val="28"/>
        </w:rPr>
        <w:t>定额子母是按工序设置的，一个工序就是一个定额子母。而清单是把若干个相关联的工序组合成一个清单</w:t>
      </w:r>
      <w:r>
        <w:rPr>
          <w:rFonts w:hint="eastAsia" w:ascii="仿宋" w:hAnsi="仿宋" w:eastAsia="仿宋" w:cs="仿宋"/>
          <w:sz w:val="28"/>
          <w:szCs w:val="28"/>
          <w:lang w:val="en-US" w:eastAsia="zh-CN"/>
        </w:rPr>
        <w:t>项。</w:t>
      </w:r>
    </w:p>
    <w:p>
      <w:pPr>
        <w:widowControl w:val="0"/>
        <w:numPr>
          <w:ilvl w:val="0"/>
          <w:numId w:val="0"/>
        </w:numPr>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rPr>
        <w:t>应对策略</w:t>
      </w:r>
      <w:r>
        <w:rPr>
          <w:rFonts w:hint="eastAsia" w:ascii="仿宋" w:hAnsi="仿宋" w:eastAsia="仿宋" w:cs="仿宋"/>
          <w:b/>
          <w:bCs/>
          <w:sz w:val="28"/>
          <w:szCs w:val="28"/>
          <w:lang w:val="en-US" w:eastAsia="zh-CN"/>
        </w:rPr>
        <w:t>：</w:t>
      </w:r>
      <w:r>
        <w:rPr>
          <w:rFonts w:hint="eastAsia" w:ascii="仿宋" w:hAnsi="仿宋" w:eastAsia="仿宋" w:cs="仿宋"/>
          <w:sz w:val="28"/>
          <w:szCs w:val="28"/>
        </w:rPr>
        <w:t>笨办法</w:t>
      </w:r>
      <w:r>
        <w:rPr>
          <w:rFonts w:hint="eastAsia" w:ascii="仿宋" w:hAnsi="仿宋" w:eastAsia="仿宋" w:cs="仿宋"/>
          <w:sz w:val="28"/>
          <w:szCs w:val="28"/>
          <w:lang w:val="en-US" w:eastAsia="zh-CN"/>
        </w:rPr>
        <w:t>是对照清单规范逐一核查</w:t>
      </w:r>
      <w:r>
        <w:rPr>
          <w:rFonts w:hint="eastAsia" w:ascii="仿宋" w:hAnsi="仿宋" w:eastAsia="仿宋" w:cs="仿宋"/>
          <w:sz w:val="28"/>
          <w:szCs w:val="28"/>
        </w:rPr>
        <w:t>。巧办法</w:t>
      </w:r>
      <w:r>
        <w:rPr>
          <w:rFonts w:hint="eastAsia" w:ascii="仿宋" w:hAnsi="仿宋" w:eastAsia="仿宋" w:cs="仿宋"/>
          <w:sz w:val="28"/>
          <w:szCs w:val="28"/>
          <w:lang w:val="en-US" w:eastAsia="zh-CN"/>
        </w:rPr>
        <w:t>是将经常发现的错误总结起来，做成工具表</w:t>
      </w:r>
      <w:r>
        <w:rPr>
          <w:rFonts w:hint="eastAsia" w:ascii="仿宋" w:hAnsi="仿宋" w:eastAsia="仿宋" w:cs="仿宋"/>
          <w:sz w:val="28"/>
          <w:szCs w:val="28"/>
        </w:rPr>
        <w:t>“易漏易重清单</w:t>
      </w:r>
      <w:r>
        <w:rPr>
          <w:rFonts w:hint="eastAsia" w:ascii="仿宋" w:hAnsi="仿宋" w:eastAsia="仿宋" w:cs="仿宋"/>
          <w:sz w:val="28"/>
          <w:szCs w:val="28"/>
          <w:lang w:val="en-US" w:eastAsia="zh-CN"/>
        </w:rPr>
        <w:t>项</w:t>
      </w:r>
      <w:r>
        <w:rPr>
          <w:rFonts w:hint="eastAsia" w:ascii="仿宋" w:hAnsi="仿宋" w:eastAsia="仿宋" w:cs="仿宋"/>
          <w:sz w:val="28"/>
          <w:szCs w:val="28"/>
        </w:rPr>
        <w:t>核对工具表”。</w:t>
      </w:r>
    </w:p>
    <w:p>
      <w:pPr>
        <w:widowControl w:val="0"/>
        <w:numPr>
          <w:ilvl w:val="0"/>
          <w:numId w:val="0"/>
        </w:numPr>
        <w:tabs>
          <w:tab w:val="left" w:pos="312"/>
        </w:tabs>
        <w:ind w:leftChars="100" w:firstLine="281" w:firstLineChars="100"/>
        <w:jc w:val="left"/>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（2）项目</w:t>
      </w:r>
      <w:r>
        <w:rPr>
          <w:rFonts w:hint="eastAsia" w:ascii="仿宋" w:hAnsi="仿宋" w:eastAsia="仿宋" w:cs="仿宋"/>
          <w:b/>
          <w:bCs/>
          <w:sz w:val="28"/>
          <w:szCs w:val="28"/>
        </w:rPr>
        <w:t>特征描述错误</w:t>
      </w:r>
      <w:r>
        <w:rPr>
          <w:rFonts w:hint="eastAsia" w:ascii="仿宋" w:hAnsi="仿宋" w:eastAsia="仿宋" w:cs="仿宋"/>
          <w:b/>
          <w:bCs/>
          <w:sz w:val="28"/>
          <w:szCs w:val="28"/>
          <w:lang w:val="en-US" w:eastAsia="zh-CN"/>
        </w:rPr>
        <w:t>的原因分析及应对策略</w:t>
      </w:r>
    </w:p>
    <w:p>
      <w:pPr>
        <w:widowControl w:val="0"/>
        <w:numPr>
          <w:ilvl w:val="0"/>
          <w:numId w:val="0"/>
        </w:numPr>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原因分析：</w:t>
      </w:r>
      <w:r>
        <w:rPr>
          <w:rFonts w:hint="eastAsia" w:ascii="仿宋" w:hAnsi="仿宋" w:eastAsia="仿宋" w:cs="仿宋"/>
          <w:sz w:val="28"/>
          <w:szCs w:val="28"/>
          <w:lang w:val="en-US" w:eastAsia="zh-CN"/>
        </w:rPr>
        <w:t>每种工艺，每种材料的</w:t>
      </w:r>
      <w:r>
        <w:rPr>
          <w:rFonts w:hint="eastAsia" w:ascii="仿宋" w:hAnsi="仿宋" w:eastAsia="仿宋" w:cs="仿宋"/>
          <w:sz w:val="28"/>
          <w:szCs w:val="28"/>
        </w:rPr>
        <w:t>特征</w:t>
      </w:r>
      <w:r>
        <w:rPr>
          <w:rFonts w:hint="eastAsia" w:ascii="仿宋" w:hAnsi="仿宋" w:eastAsia="仿宋" w:cs="仿宋"/>
          <w:sz w:val="28"/>
          <w:szCs w:val="28"/>
          <w:lang w:val="en-US" w:eastAsia="zh-CN"/>
        </w:rPr>
        <w:t>都不相同，清单编制人员对工艺、材料、机械等的主要影响造价的因素把控不到位，设计文件未彻底消化，特征描述过于机械化。</w:t>
      </w:r>
    </w:p>
    <w:p>
      <w:pPr>
        <w:widowControl w:val="0"/>
        <w:numPr>
          <w:ilvl w:val="0"/>
          <w:numId w:val="0"/>
        </w:numPr>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rPr>
        <w:t>应对策略</w:t>
      </w:r>
      <w:r>
        <w:rPr>
          <w:rFonts w:hint="eastAsia" w:ascii="仿宋" w:hAnsi="仿宋" w:eastAsia="仿宋" w:cs="仿宋"/>
          <w:b/>
          <w:bCs/>
          <w:sz w:val="28"/>
          <w:szCs w:val="28"/>
          <w:lang w:val="en-US" w:eastAsia="zh-CN"/>
        </w:rPr>
        <w:t>：</w:t>
      </w:r>
      <w:r>
        <w:rPr>
          <w:rFonts w:hint="eastAsia" w:ascii="仿宋" w:hAnsi="仿宋" w:eastAsia="仿宋" w:cs="仿宋"/>
          <w:sz w:val="28"/>
          <w:szCs w:val="28"/>
        </w:rPr>
        <w:t>站在投标人的角度</w:t>
      </w:r>
      <w:r>
        <w:rPr>
          <w:rFonts w:hint="eastAsia" w:ascii="仿宋" w:hAnsi="仿宋" w:eastAsia="仿宋" w:cs="仿宋"/>
          <w:sz w:val="28"/>
          <w:szCs w:val="28"/>
          <w:lang w:val="en-US" w:eastAsia="zh-CN"/>
        </w:rPr>
        <w:t>思考</w:t>
      </w:r>
      <w:r>
        <w:rPr>
          <w:rFonts w:hint="eastAsia" w:ascii="仿宋" w:hAnsi="仿宋" w:eastAsia="仿宋" w:cs="仿宋"/>
          <w:sz w:val="28"/>
          <w:szCs w:val="28"/>
        </w:rPr>
        <w:t>，</w:t>
      </w:r>
      <w:r>
        <w:rPr>
          <w:rFonts w:hint="eastAsia" w:ascii="仿宋" w:hAnsi="仿宋" w:eastAsia="仿宋" w:cs="仿宋"/>
          <w:sz w:val="28"/>
          <w:szCs w:val="28"/>
          <w:lang w:val="en-US" w:eastAsia="zh-CN"/>
        </w:rPr>
        <w:t>所描述的清单特征是否</w:t>
      </w:r>
      <w:r>
        <w:rPr>
          <w:rFonts w:hint="eastAsia" w:ascii="仿宋" w:hAnsi="仿宋" w:eastAsia="仿宋" w:cs="仿宋"/>
          <w:sz w:val="28"/>
          <w:szCs w:val="28"/>
        </w:rPr>
        <w:t>能全面、唯一、准确</w:t>
      </w:r>
      <w:r>
        <w:rPr>
          <w:rFonts w:hint="eastAsia" w:ascii="仿宋" w:hAnsi="仿宋" w:eastAsia="仿宋" w:cs="仿宋"/>
          <w:sz w:val="28"/>
          <w:szCs w:val="28"/>
          <w:lang w:val="en-US" w:eastAsia="zh-CN"/>
        </w:rPr>
        <w:t>的组价</w:t>
      </w:r>
      <w:r>
        <w:rPr>
          <w:rFonts w:hint="eastAsia" w:ascii="仿宋" w:hAnsi="仿宋" w:eastAsia="仿宋" w:cs="仿宋"/>
          <w:sz w:val="28"/>
          <w:szCs w:val="28"/>
        </w:rPr>
        <w:t>，</w:t>
      </w:r>
      <w:r>
        <w:rPr>
          <w:rFonts w:hint="eastAsia" w:ascii="仿宋" w:hAnsi="仿宋" w:eastAsia="仿宋" w:cs="仿宋"/>
          <w:sz w:val="28"/>
          <w:szCs w:val="28"/>
          <w:lang w:val="en-US" w:eastAsia="zh-CN"/>
        </w:rPr>
        <w:t>能则为正确、完善的，反之则为错误、不清晰</w:t>
      </w:r>
      <w:r>
        <w:rPr>
          <w:rFonts w:hint="eastAsia" w:ascii="仿宋" w:hAnsi="仿宋" w:eastAsia="仿宋" w:cs="仿宋"/>
          <w:sz w:val="28"/>
          <w:szCs w:val="28"/>
        </w:rPr>
        <w:t>。</w:t>
      </w:r>
    </w:p>
    <w:p>
      <w:pPr>
        <w:widowControl w:val="0"/>
        <w:numPr>
          <w:ilvl w:val="0"/>
          <w:numId w:val="0"/>
        </w:numPr>
        <w:tabs>
          <w:tab w:val="left" w:pos="312"/>
        </w:tabs>
        <w:ind w:leftChars="100" w:firstLine="281" w:firstLineChars="100"/>
        <w:jc w:val="left"/>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工程量计算错误</w:t>
      </w:r>
      <w:r>
        <w:rPr>
          <w:rFonts w:hint="eastAsia" w:ascii="仿宋" w:hAnsi="仿宋" w:eastAsia="仿宋" w:cs="仿宋"/>
          <w:b/>
          <w:bCs/>
          <w:sz w:val="28"/>
          <w:szCs w:val="28"/>
          <w:lang w:val="en-US" w:eastAsia="zh-CN"/>
        </w:rPr>
        <w:t>的原因分析及应对策略</w:t>
      </w:r>
    </w:p>
    <w:p>
      <w:pPr>
        <w:widowControl w:val="0"/>
        <w:numPr>
          <w:ilvl w:val="0"/>
          <w:numId w:val="0"/>
        </w:numPr>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原因分析:</w:t>
      </w:r>
      <w:r>
        <w:rPr>
          <w:rFonts w:hint="eastAsia" w:ascii="仿宋" w:hAnsi="仿宋" w:eastAsia="仿宋" w:cs="仿宋"/>
          <w:sz w:val="28"/>
          <w:szCs w:val="28"/>
        </w:rPr>
        <w:t>清单工程量计算规则是只考虑图示尺寸计量，不考虑措施和损耗量；而定额工程量计算规则是含图示尺寸计量、措施增量及损耗量（</w:t>
      </w:r>
      <w:r>
        <w:rPr>
          <w:rFonts w:hint="eastAsia" w:ascii="仿宋" w:hAnsi="仿宋" w:eastAsia="仿宋" w:cs="仿宋"/>
          <w:sz w:val="28"/>
          <w:szCs w:val="28"/>
          <w:lang w:val="en-US" w:eastAsia="zh-CN"/>
        </w:rPr>
        <w:t>如：</w:t>
      </w:r>
      <w:r>
        <w:rPr>
          <w:rFonts w:hint="eastAsia" w:ascii="仿宋" w:hAnsi="仿宋" w:eastAsia="仿宋" w:cs="仿宋"/>
          <w:sz w:val="28"/>
          <w:szCs w:val="28"/>
        </w:rPr>
        <w:t>钢筋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土方工程量的计算</w:t>
      </w:r>
      <w:r>
        <w:rPr>
          <w:rFonts w:hint="eastAsia" w:ascii="仿宋" w:hAnsi="仿宋" w:eastAsia="仿宋" w:cs="仿宋"/>
          <w:sz w:val="28"/>
          <w:szCs w:val="28"/>
        </w:rPr>
        <w:t>）</w:t>
      </w:r>
      <w:r>
        <w:rPr>
          <w:rFonts w:hint="eastAsia" w:ascii="仿宋" w:hAnsi="仿宋" w:eastAsia="仿宋" w:cs="仿宋"/>
          <w:sz w:val="28"/>
          <w:szCs w:val="28"/>
          <w:lang w:eastAsia="zh-CN"/>
        </w:rPr>
        <w:t>。</w:t>
      </w:r>
    </w:p>
    <w:p>
      <w:pPr>
        <w:widowControl w:val="0"/>
        <w:numPr>
          <w:ilvl w:val="0"/>
          <w:numId w:val="0"/>
        </w:numPr>
        <w:ind w:firstLine="562" w:firstLineChars="200"/>
        <w:jc w:val="left"/>
        <w:outlineLvl w:val="9"/>
        <w:rPr>
          <w:rFonts w:hint="eastAsia" w:ascii="仿宋" w:hAnsi="仿宋" w:eastAsia="仿宋" w:cs="仿宋"/>
          <w:sz w:val="28"/>
          <w:szCs w:val="28"/>
        </w:rPr>
      </w:pPr>
      <w:r>
        <w:rPr>
          <w:rFonts w:hint="eastAsia" w:ascii="仿宋" w:hAnsi="仿宋" w:eastAsia="仿宋" w:cs="仿宋"/>
          <w:b/>
          <w:bCs/>
          <w:sz w:val="28"/>
          <w:szCs w:val="28"/>
        </w:rPr>
        <w:t>应对策略</w:t>
      </w:r>
      <w:r>
        <w:rPr>
          <w:rFonts w:hint="eastAsia" w:ascii="仿宋" w:hAnsi="仿宋" w:eastAsia="仿宋" w:cs="仿宋"/>
          <w:b/>
          <w:bCs/>
          <w:sz w:val="28"/>
          <w:szCs w:val="28"/>
          <w:lang w:val="en-US" w:eastAsia="zh-CN"/>
        </w:rPr>
        <w:t>：</w:t>
      </w:r>
      <w:r>
        <w:rPr>
          <w:rFonts w:hint="eastAsia" w:ascii="仿宋" w:hAnsi="仿宋" w:eastAsia="仿宋" w:cs="仿宋"/>
          <w:sz w:val="28"/>
          <w:szCs w:val="28"/>
        </w:rPr>
        <w:t>措施增量与施工方案</w:t>
      </w:r>
      <w:r>
        <w:rPr>
          <w:rFonts w:hint="eastAsia" w:ascii="仿宋" w:hAnsi="仿宋" w:eastAsia="仿宋" w:cs="仿宋"/>
          <w:sz w:val="28"/>
          <w:szCs w:val="28"/>
          <w:lang w:val="en-US" w:eastAsia="zh-CN"/>
        </w:rPr>
        <w:t>相关</w:t>
      </w:r>
      <w:r>
        <w:rPr>
          <w:rFonts w:hint="eastAsia" w:ascii="仿宋" w:hAnsi="仿宋" w:eastAsia="仿宋" w:cs="仿宋"/>
          <w:sz w:val="28"/>
          <w:szCs w:val="28"/>
        </w:rPr>
        <w:t>，损耗量与</w:t>
      </w:r>
      <w:r>
        <w:rPr>
          <w:rFonts w:hint="eastAsia" w:ascii="仿宋" w:hAnsi="仿宋" w:eastAsia="仿宋" w:cs="仿宋"/>
          <w:sz w:val="28"/>
          <w:szCs w:val="28"/>
          <w:lang w:val="en-US" w:eastAsia="zh-CN"/>
        </w:rPr>
        <w:t>施工</w:t>
      </w:r>
      <w:r>
        <w:rPr>
          <w:rFonts w:hint="eastAsia" w:ascii="仿宋" w:hAnsi="仿宋" w:eastAsia="仿宋" w:cs="仿宋"/>
          <w:sz w:val="28"/>
          <w:szCs w:val="28"/>
        </w:rPr>
        <w:t>管理水平</w:t>
      </w:r>
      <w:r>
        <w:rPr>
          <w:rFonts w:hint="eastAsia" w:ascii="仿宋" w:hAnsi="仿宋" w:eastAsia="仿宋" w:cs="仿宋"/>
          <w:sz w:val="28"/>
          <w:szCs w:val="28"/>
          <w:lang w:val="en-US" w:eastAsia="zh-CN"/>
        </w:rPr>
        <w:t>相关</w:t>
      </w:r>
      <w:r>
        <w:rPr>
          <w:rFonts w:hint="eastAsia" w:ascii="仿宋" w:hAnsi="仿宋" w:eastAsia="仿宋" w:cs="仿宋"/>
          <w:sz w:val="28"/>
          <w:szCs w:val="28"/>
        </w:rPr>
        <w:t>，施工方案与</w:t>
      </w:r>
      <w:r>
        <w:rPr>
          <w:rFonts w:hint="eastAsia" w:ascii="仿宋" w:hAnsi="仿宋" w:eastAsia="仿宋" w:cs="仿宋"/>
          <w:sz w:val="28"/>
          <w:szCs w:val="28"/>
          <w:lang w:val="en-US" w:eastAsia="zh-CN"/>
        </w:rPr>
        <w:t>施工</w:t>
      </w:r>
      <w:r>
        <w:rPr>
          <w:rFonts w:hint="eastAsia" w:ascii="仿宋" w:hAnsi="仿宋" w:eastAsia="仿宋" w:cs="仿宋"/>
          <w:sz w:val="28"/>
          <w:szCs w:val="28"/>
        </w:rPr>
        <w:t>管理水平恰恰是投标人竞争的量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措施增量和损耗量</w:t>
      </w:r>
      <w:r>
        <w:rPr>
          <w:rFonts w:hint="eastAsia" w:ascii="仿宋" w:hAnsi="仿宋" w:eastAsia="仿宋" w:cs="仿宋"/>
          <w:sz w:val="28"/>
          <w:szCs w:val="28"/>
        </w:rPr>
        <w:t>由投标人</w:t>
      </w:r>
      <w:r>
        <w:rPr>
          <w:rFonts w:hint="eastAsia" w:ascii="仿宋" w:hAnsi="仿宋" w:eastAsia="仿宋" w:cs="仿宋"/>
          <w:sz w:val="28"/>
          <w:szCs w:val="28"/>
          <w:lang w:val="en-US" w:eastAsia="zh-CN"/>
        </w:rPr>
        <w:t>自身</w:t>
      </w:r>
      <w:r>
        <w:rPr>
          <w:rFonts w:hint="eastAsia" w:ascii="仿宋" w:hAnsi="仿宋" w:eastAsia="仿宋" w:cs="仿宋"/>
          <w:sz w:val="28"/>
          <w:szCs w:val="28"/>
        </w:rPr>
        <w:t>的具体施工方案</w:t>
      </w:r>
      <w:r>
        <w:rPr>
          <w:rFonts w:hint="eastAsia" w:ascii="仿宋" w:hAnsi="仿宋" w:eastAsia="仿宋" w:cs="仿宋"/>
          <w:sz w:val="28"/>
          <w:szCs w:val="28"/>
          <w:lang w:val="en-US" w:eastAsia="zh-CN"/>
        </w:rPr>
        <w:t>和管理水平在</w:t>
      </w:r>
      <w:r>
        <w:rPr>
          <w:rFonts w:hint="eastAsia" w:ascii="仿宋" w:hAnsi="仿宋" w:eastAsia="仿宋" w:cs="仿宋"/>
          <w:sz w:val="28"/>
          <w:szCs w:val="28"/>
        </w:rPr>
        <w:t>上综合单价里自行考虑。</w:t>
      </w:r>
      <w:r>
        <w:rPr>
          <w:rFonts w:hint="eastAsia" w:ascii="仿宋" w:hAnsi="仿宋" w:eastAsia="仿宋" w:cs="仿宋"/>
          <w:sz w:val="28"/>
          <w:szCs w:val="28"/>
          <w:lang w:val="en-US" w:eastAsia="zh-CN"/>
        </w:rPr>
        <w:t>所以招标工程量应按清单工程量计算规则、</w:t>
      </w:r>
      <w:r>
        <w:rPr>
          <w:rFonts w:hint="eastAsia" w:ascii="仿宋" w:hAnsi="仿宋" w:eastAsia="仿宋" w:cs="仿宋"/>
          <w:sz w:val="28"/>
          <w:szCs w:val="28"/>
        </w:rPr>
        <w:t>常规方案</w:t>
      </w:r>
      <w:r>
        <w:rPr>
          <w:rFonts w:hint="eastAsia" w:ascii="仿宋" w:hAnsi="仿宋" w:eastAsia="仿宋" w:cs="仿宋"/>
          <w:sz w:val="28"/>
          <w:szCs w:val="28"/>
          <w:lang w:val="en-US" w:eastAsia="zh-CN"/>
        </w:rPr>
        <w:t>计算工程量</w:t>
      </w:r>
      <w:r>
        <w:rPr>
          <w:rFonts w:hint="eastAsia" w:ascii="仿宋" w:hAnsi="仿宋" w:eastAsia="仿宋" w:cs="仿宋"/>
          <w:sz w:val="28"/>
          <w:szCs w:val="28"/>
        </w:rPr>
        <w:t>。</w:t>
      </w:r>
    </w:p>
    <w:p>
      <w:pPr>
        <w:widowControl w:val="0"/>
        <w:numPr>
          <w:ilvl w:val="0"/>
          <w:numId w:val="0"/>
        </w:numPr>
        <w:tabs>
          <w:tab w:val="left" w:pos="312"/>
        </w:tabs>
        <w:jc w:val="left"/>
        <w:outlineLvl w:val="1"/>
        <w:rPr>
          <w:rFonts w:hint="eastAsia" w:ascii="仿宋" w:hAnsi="仿宋" w:eastAsia="仿宋" w:cs="仿宋"/>
          <w:b/>
          <w:bCs/>
          <w:sz w:val="28"/>
          <w:szCs w:val="28"/>
          <w:lang w:val="en-US" w:eastAsia="zh-CN"/>
        </w:rPr>
      </w:pPr>
      <w:bookmarkStart w:id="23" w:name="_Toc19703"/>
      <w:bookmarkStart w:id="24" w:name="_Toc15032"/>
      <w:r>
        <w:rPr>
          <w:rFonts w:hint="eastAsia" w:ascii="仿宋" w:hAnsi="仿宋" w:eastAsia="仿宋" w:cs="仿宋"/>
          <w:b/>
          <w:bCs/>
          <w:sz w:val="28"/>
          <w:szCs w:val="28"/>
          <w:lang w:val="en-US" w:eastAsia="zh-CN"/>
        </w:rPr>
        <w:t xml:space="preserve">3.1.2 </w:t>
      </w:r>
      <w:r>
        <w:rPr>
          <w:rFonts w:hint="eastAsia" w:ascii="仿宋" w:hAnsi="仿宋" w:eastAsia="仿宋" w:cs="仿宋"/>
          <w:b/>
          <w:bCs/>
          <w:sz w:val="28"/>
          <w:szCs w:val="28"/>
        </w:rPr>
        <w:t>招标中工程量清单编制常见错误</w:t>
      </w:r>
      <w:r>
        <w:rPr>
          <w:rFonts w:hint="eastAsia" w:ascii="仿宋" w:hAnsi="仿宋" w:eastAsia="仿宋" w:cs="仿宋"/>
          <w:b/>
          <w:bCs/>
          <w:sz w:val="28"/>
          <w:szCs w:val="28"/>
          <w:lang w:val="en-US" w:eastAsia="zh-CN"/>
        </w:rPr>
        <w:t>的补救措施</w:t>
      </w:r>
      <w:bookmarkEnd w:id="23"/>
      <w:bookmarkEnd w:id="24"/>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由于项目的多样性，清单的复杂性，在编制工程量清单是难免会存在</w:t>
      </w:r>
      <w:r>
        <w:rPr>
          <w:rFonts w:hint="eastAsia" w:ascii="仿宋" w:hAnsi="仿宋" w:eastAsia="仿宋" w:cs="仿宋"/>
          <w:sz w:val="28"/>
          <w:szCs w:val="28"/>
        </w:rPr>
        <w:t>错误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以下是两种补救方法：</w:t>
      </w:r>
    </w:p>
    <w:p>
      <w:pPr>
        <w:widowControl w:val="0"/>
        <w:numPr>
          <w:ilvl w:val="0"/>
          <w:numId w:val="0"/>
        </w:num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招投标环节的补救</w:t>
      </w:r>
      <w:r>
        <w:rPr>
          <w:rFonts w:hint="eastAsia" w:ascii="仿宋" w:hAnsi="仿宋" w:eastAsia="仿宋" w:cs="仿宋"/>
          <w:b/>
          <w:bCs/>
          <w:sz w:val="28"/>
          <w:szCs w:val="28"/>
          <w:lang w:val="en-US" w:eastAsia="zh-CN"/>
        </w:rPr>
        <w:t>措施</w:t>
      </w:r>
    </w:p>
    <w:p>
      <w:pPr>
        <w:widowControl w:val="0"/>
        <w:numPr>
          <w:ilvl w:val="0"/>
          <w:numId w:val="0"/>
        </w:numPr>
        <w:ind w:firstLine="560" w:firstLineChars="200"/>
        <w:jc w:val="left"/>
        <w:outlineLvl w:val="9"/>
        <w:rPr>
          <w:rFonts w:hint="eastAsia" w:ascii="仿宋" w:hAnsi="仿宋" w:eastAsia="仿宋" w:cs="仿宋"/>
          <w:sz w:val="28"/>
          <w:szCs w:val="28"/>
        </w:rPr>
      </w:pPr>
      <w:r>
        <w:rPr>
          <w:rFonts w:hint="eastAsia" w:ascii="仿宋" w:hAnsi="仿宋" w:eastAsia="仿宋" w:cs="仿宋"/>
          <w:sz w:val="28"/>
          <w:szCs w:val="28"/>
        </w:rPr>
        <w:t>增加投标答疑环节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在编制招标文件中明确</w:t>
      </w:r>
      <w:r>
        <w:rPr>
          <w:rFonts w:hint="eastAsia" w:ascii="仿宋" w:hAnsi="仿宋" w:eastAsia="仿宋" w:cs="仿宋"/>
          <w:sz w:val="28"/>
          <w:szCs w:val="28"/>
        </w:rPr>
        <w:t>投标人在报价之前</w:t>
      </w:r>
      <w:r>
        <w:rPr>
          <w:rFonts w:hint="eastAsia" w:ascii="仿宋" w:hAnsi="仿宋" w:eastAsia="仿宋" w:cs="仿宋"/>
          <w:sz w:val="28"/>
          <w:szCs w:val="28"/>
          <w:lang w:val="en-US" w:eastAsia="zh-CN"/>
        </w:rPr>
        <w:t>对清单进行核对</w:t>
      </w:r>
      <w:r>
        <w:rPr>
          <w:rFonts w:hint="eastAsia" w:ascii="仿宋" w:hAnsi="仿宋" w:eastAsia="仿宋" w:cs="仿宋"/>
          <w:sz w:val="28"/>
          <w:szCs w:val="28"/>
        </w:rPr>
        <w:t>，</w:t>
      </w:r>
      <w:r>
        <w:rPr>
          <w:rFonts w:hint="eastAsia" w:ascii="仿宋" w:hAnsi="仿宋" w:eastAsia="仿宋" w:cs="仿宋"/>
          <w:sz w:val="28"/>
          <w:szCs w:val="28"/>
          <w:lang w:val="en-US" w:eastAsia="zh-CN"/>
        </w:rPr>
        <w:t>将存在的疑问、问题在</w:t>
      </w:r>
      <w:r>
        <w:rPr>
          <w:rFonts w:hint="eastAsia" w:ascii="仿宋" w:hAnsi="仿宋" w:eastAsia="仿宋" w:cs="仿宋"/>
          <w:sz w:val="28"/>
          <w:szCs w:val="28"/>
        </w:rPr>
        <w:t>投标答疑会上</w:t>
      </w:r>
      <w:r>
        <w:rPr>
          <w:rFonts w:hint="eastAsia" w:ascii="仿宋" w:hAnsi="仿宋" w:eastAsia="仿宋" w:cs="仿宋"/>
          <w:sz w:val="28"/>
          <w:szCs w:val="28"/>
          <w:lang w:val="en-US" w:eastAsia="zh-CN"/>
        </w:rPr>
        <w:t>提出</w:t>
      </w:r>
      <w:r>
        <w:rPr>
          <w:rFonts w:hint="eastAsia" w:ascii="仿宋" w:hAnsi="仿宋" w:eastAsia="仿宋" w:cs="仿宋"/>
          <w:sz w:val="28"/>
          <w:szCs w:val="28"/>
        </w:rPr>
        <w:t>，</w:t>
      </w:r>
      <w:r>
        <w:rPr>
          <w:rFonts w:hint="eastAsia" w:ascii="仿宋" w:hAnsi="仿宋" w:eastAsia="仿宋" w:cs="仿宋"/>
          <w:sz w:val="28"/>
          <w:szCs w:val="28"/>
          <w:lang w:val="en-US" w:eastAsia="zh-CN"/>
        </w:rPr>
        <w:t>招标人核实后，</w:t>
      </w:r>
      <w:r>
        <w:rPr>
          <w:rFonts w:hint="eastAsia" w:ascii="仿宋" w:hAnsi="仿宋" w:eastAsia="仿宋" w:cs="仿宋"/>
          <w:sz w:val="28"/>
          <w:szCs w:val="28"/>
        </w:rPr>
        <w:t>通过书面答疑</w:t>
      </w:r>
      <w:r>
        <w:rPr>
          <w:rFonts w:hint="eastAsia" w:ascii="仿宋" w:hAnsi="仿宋" w:eastAsia="仿宋" w:cs="仿宋"/>
          <w:sz w:val="28"/>
          <w:szCs w:val="28"/>
          <w:lang w:val="en-US" w:eastAsia="zh-CN"/>
        </w:rPr>
        <w:t>解决</w:t>
      </w:r>
      <w:r>
        <w:rPr>
          <w:rFonts w:hint="eastAsia" w:ascii="仿宋" w:hAnsi="仿宋" w:eastAsia="仿宋" w:cs="仿宋"/>
          <w:sz w:val="28"/>
          <w:szCs w:val="28"/>
        </w:rPr>
        <w:t>。</w:t>
      </w:r>
    </w:p>
    <w:p>
      <w:pPr>
        <w:widowControl w:val="0"/>
        <w:numPr>
          <w:ilvl w:val="0"/>
          <w:numId w:val="0"/>
        </w:numPr>
        <w:ind w:leftChars="0" w:firstLine="562" w:firstLineChars="200"/>
        <w:jc w:val="left"/>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施工环节</w:t>
      </w:r>
      <w:r>
        <w:rPr>
          <w:rFonts w:hint="eastAsia" w:ascii="仿宋" w:hAnsi="仿宋" w:eastAsia="仿宋" w:cs="仿宋"/>
          <w:b/>
          <w:bCs/>
          <w:sz w:val="28"/>
          <w:szCs w:val="28"/>
          <w:lang w:val="en-US" w:eastAsia="zh-CN"/>
        </w:rPr>
        <w:t>的补救措施</w:t>
      </w:r>
    </w:p>
    <w:p>
      <w:pPr>
        <w:widowControl w:val="0"/>
        <w:numPr>
          <w:ilvl w:val="0"/>
          <w:numId w:val="0"/>
        </w:numPr>
        <w:ind w:leftChars="0" w:firstLine="560" w:firstLineChars="200"/>
        <w:jc w:val="left"/>
        <w:outlineLvl w:val="9"/>
        <w:rPr>
          <w:rFonts w:hint="eastAsia" w:ascii="仿宋" w:hAnsi="仿宋" w:eastAsia="仿宋" w:cs="仿宋"/>
          <w:sz w:val="28"/>
          <w:szCs w:val="28"/>
        </w:rPr>
      </w:pPr>
      <w:r>
        <w:rPr>
          <w:rFonts w:hint="eastAsia" w:ascii="仿宋" w:hAnsi="仿宋" w:eastAsia="仿宋" w:cs="仿宋"/>
          <w:sz w:val="28"/>
          <w:szCs w:val="28"/>
          <w:lang w:val="en-US" w:eastAsia="zh-CN"/>
        </w:rPr>
        <w:t>清单工程量计算有误，</w:t>
      </w:r>
      <w:r>
        <w:rPr>
          <w:rFonts w:hint="eastAsia" w:ascii="仿宋" w:hAnsi="仿宋" w:eastAsia="仿宋" w:cs="仿宋"/>
          <w:sz w:val="28"/>
          <w:szCs w:val="28"/>
        </w:rPr>
        <w:t>在</w:t>
      </w:r>
      <w:r>
        <w:rPr>
          <w:rFonts w:hint="eastAsia" w:ascii="仿宋" w:hAnsi="仿宋" w:eastAsia="仿宋" w:cs="仿宋"/>
          <w:sz w:val="28"/>
          <w:szCs w:val="28"/>
          <w:lang w:val="en-US" w:eastAsia="zh-CN"/>
        </w:rPr>
        <w:t>进度</w:t>
      </w:r>
      <w:r>
        <w:rPr>
          <w:rFonts w:hint="eastAsia" w:ascii="仿宋" w:hAnsi="仿宋" w:eastAsia="仿宋" w:cs="仿宋"/>
          <w:sz w:val="28"/>
          <w:szCs w:val="28"/>
        </w:rPr>
        <w:t>计量时</w:t>
      </w:r>
      <w:r>
        <w:rPr>
          <w:rFonts w:hint="eastAsia" w:ascii="仿宋" w:hAnsi="仿宋" w:eastAsia="仿宋" w:cs="仿宋"/>
          <w:sz w:val="28"/>
          <w:szCs w:val="28"/>
          <w:lang w:val="en-US" w:eastAsia="zh-CN"/>
        </w:rPr>
        <w:t>按实际完成工程量计算（13清单规范</w:t>
      </w:r>
      <w:r>
        <w:rPr>
          <w:rFonts w:hint="eastAsia" w:ascii="仿宋" w:hAnsi="仿宋" w:eastAsia="仿宋" w:cs="仿宋"/>
          <w:sz w:val="28"/>
          <w:szCs w:val="28"/>
        </w:rPr>
        <w:t>“按实计量，按实结算”</w:t>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清单工程量</w:t>
      </w:r>
      <w:r>
        <w:rPr>
          <w:rFonts w:hint="eastAsia" w:ascii="仿宋" w:hAnsi="仿宋" w:eastAsia="仿宋" w:cs="仿宋"/>
          <w:sz w:val="28"/>
          <w:szCs w:val="28"/>
        </w:rPr>
        <w:t>漏项</w:t>
      </w:r>
      <w:r>
        <w:rPr>
          <w:rFonts w:hint="eastAsia" w:ascii="仿宋" w:hAnsi="仿宋" w:eastAsia="仿宋" w:cs="仿宋"/>
          <w:sz w:val="28"/>
          <w:szCs w:val="28"/>
          <w:lang w:eastAsia="zh-CN"/>
        </w:rPr>
        <w:t>、</w:t>
      </w:r>
      <w:r>
        <w:rPr>
          <w:rFonts w:hint="eastAsia" w:ascii="仿宋" w:hAnsi="仿宋" w:eastAsia="仿宋" w:cs="仿宋"/>
          <w:sz w:val="28"/>
          <w:szCs w:val="28"/>
        </w:rPr>
        <w:t>特征描述</w:t>
      </w:r>
      <w:r>
        <w:rPr>
          <w:rFonts w:hint="eastAsia" w:ascii="仿宋" w:hAnsi="仿宋" w:eastAsia="仿宋" w:cs="仿宋"/>
          <w:sz w:val="28"/>
          <w:szCs w:val="28"/>
          <w:lang w:val="en-US" w:eastAsia="zh-CN"/>
        </w:rPr>
        <w:t>有误，</w:t>
      </w:r>
      <w:r>
        <w:rPr>
          <w:rFonts w:hint="eastAsia" w:ascii="仿宋" w:hAnsi="仿宋" w:eastAsia="仿宋" w:cs="仿宋"/>
          <w:sz w:val="28"/>
          <w:szCs w:val="28"/>
        </w:rPr>
        <w:t>在</w:t>
      </w:r>
      <w:r>
        <w:rPr>
          <w:rFonts w:hint="eastAsia" w:ascii="仿宋" w:hAnsi="仿宋" w:eastAsia="仿宋" w:cs="仿宋"/>
          <w:sz w:val="28"/>
          <w:szCs w:val="28"/>
          <w:lang w:val="en-US" w:eastAsia="zh-CN"/>
        </w:rPr>
        <w:t>构件施工前</w:t>
      </w:r>
      <w:r>
        <w:rPr>
          <w:rFonts w:hint="eastAsia" w:ascii="仿宋" w:hAnsi="仿宋" w:eastAsia="仿宋" w:cs="仿宋"/>
          <w:sz w:val="28"/>
          <w:szCs w:val="28"/>
        </w:rPr>
        <w:t>通过清单变更解决，将清单中错误的特征描述变更为开工后正确的特征描述</w:t>
      </w:r>
      <w:r>
        <w:rPr>
          <w:rFonts w:hint="eastAsia" w:ascii="仿宋" w:hAnsi="仿宋" w:eastAsia="仿宋" w:cs="仿宋"/>
          <w:sz w:val="28"/>
          <w:szCs w:val="28"/>
          <w:lang w:eastAsia="zh-CN"/>
        </w:rPr>
        <w:t>。</w:t>
      </w:r>
    </w:p>
    <w:p>
      <w:pPr>
        <w:widowControl w:val="0"/>
        <w:numPr>
          <w:ilvl w:val="0"/>
          <w:numId w:val="0"/>
        </w:numPr>
        <w:tabs>
          <w:tab w:val="left" w:pos="312"/>
        </w:tabs>
        <w:jc w:val="left"/>
        <w:outlineLvl w:val="1"/>
        <w:rPr>
          <w:rFonts w:hint="eastAsia" w:ascii="仿宋" w:hAnsi="仿宋" w:eastAsia="仿宋" w:cs="仿宋"/>
          <w:b/>
          <w:bCs/>
          <w:sz w:val="28"/>
          <w:szCs w:val="28"/>
        </w:rPr>
      </w:pPr>
      <w:bookmarkStart w:id="25" w:name="_Toc8227"/>
      <w:bookmarkStart w:id="26" w:name="_Toc2350"/>
      <w:r>
        <w:rPr>
          <w:rFonts w:hint="eastAsia" w:ascii="仿宋" w:hAnsi="仿宋" w:eastAsia="仿宋" w:cs="仿宋"/>
          <w:b/>
          <w:bCs/>
          <w:sz w:val="28"/>
          <w:szCs w:val="28"/>
          <w:lang w:val="en-US" w:eastAsia="zh-CN"/>
        </w:rPr>
        <w:t>3.1.3 编制</w:t>
      </w:r>
      <w:r>
        <w:rPr>
          <w:rFonts w:hint="eastAsia" w:ascii="仿宋" w:hAnsi="仿宋" w:eastAsia="仿宋" w:cs="仿宋"/>
          <w:b/>
          <w:bCs/>
          <w:sz w:val="28"/>
          <w:szCs w:val="28"/>
        </w:rPr>
        <w:t>招标控制价的</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8项</w:t>
      </w:r>
      <w:r>
        <w:rPr>
          <w:rFonts w:hint="eastAsia" w:ascii="仿宋" w:hAnsi="仿宋" w:eastAsia="仿宋" w:cs="仿宋"/>
          <w:b/>
          <w:bCs/>
          <w:sz w:val="28"/>
          <w:szCs w:val="28"/>
        </w:rPr>
        <w:t>原则</w:t>
      </w:r>
      <w:r>
        <w:rPr>
          <w:rFonts w:hint="eastAsia" w:ascii="仿宋" w:hAnsi="仿宋" w:eastAsia="仿宋" w:cs="仿宋"/>
          <w:b/>
          <w:bCs/>
          <w:sz w:val="28"/>
          <w:szCs w:val="28"/>
          <w:lang w:eastAsia="zh-CN"/>
        </w:rPr>
        <w:t>”</w:t>
      </w:r>
      <w:bookmarkEnd w:id="25"/>
      <w:bookmarkEnd w:id="26"/>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1.严格依据招标文件和招标工程量清单编制招标控制价，即是投标人的依据，也是招标人的核心依据。</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2.计算综合单价时，应包含招标文件中明确应由投标人承担的风险范围产生的费用。</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正确、全面地使用行业和地方的计价定额（包括相关文件）和信息价格，招标文件规定可使用市场价格的，应有可靠的询价作为依据。计算综合单价时要用到人材机单价，必须有次序，有信息价按信息价，信息价缺项按市场价。</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4.暂估价中的材料、工程设备单价，应按招标工程量清单中列出的单价计入综合单价。</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5.根据《2013清单规范》计算不可竞争的安全文明费、规费、税金（增值税模式下，工程造价税金为销项税）。</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6.措施项目费用包含总价措施和单价措施，根据《2013清单规范》第5.2.4规定，总价措施费按照施工现场情况、工程特点及常规施工方案和国家或省级、行业建设主管部门的规定计算，不得作为竞争性费用。</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7.编制招标控制价时，施工机械、设备的选型关系到台班费用的高低。施工机械、设备的选型应根据工程特点和施工条件，本着经济实用、先进高效的原则计算招投标控制价。</w:t>
      </w:r>
    </w:p>
    <w:p>
      <w:pPr>
        <w:numPr>
          <w:ilvl w:val="0"/>
          <w:numId w:val="0"/>
        </w:numPr>
        <w:bidi w:val="0"/>
        <w:ind w:firstLine="560" w:firstLineChars="200"/>
        <w:jc w:val="left"/>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8.招标控制价应按照国家相关规范进行编制，编制金额不得任意上调或下浮，并保证误差在3%内。</w:t>
      </w:r>
    </w:p>
    <w:p>
      <w:pPr>
        <w:widowControl w:val="0"/>
        <w:numPr>
          <w:ilvl w:val="0"/>
          <w:numId w:val="0"/>
        </w:numPr>
        <w:tabs>
          <w:tab w:val="left" w:pos="312"/>
        </w:tabs>
        <w:jc w:val="left"/>
        <w:outlineLvl w:val="1"/>
        <w:rPr>
          <w:rFonts w:hint="eastAsia" w:ascii="仿宋" w:hAnsi="仿宋" w:eastAsia="仿宋" w:cs="仿宋"/>
          <w:b/>
          <w:bCs/>
          <w:sz w:val="28"/>
          <w:szCs w:val="28"/>
        </w:rPr>
      </w:pPr>
      <w:bookmarkStart w:id="27" w:name="_Toc3293"/>
      <w:bookmarkStart w:id="28" w:name="_Toc677"/>
      <w:r>
        <w:rPr>
          <w:rFonts w:hint="eastAsia" w:ascii="仿宋" w:hAnsi="仿宋" w:eastAsia="仿宋" w:cs="仿宋"/>
          <w:b/>
          <w:bCs/>
          <w:sz w:val="28"/>
          <w:szCs w:val="28"/>
          <w:lang w:val="en-US" w:eastAsia="zh-CN"/>
        </w:rPr>
        <w:t xml:space="preserve">3.1.4 </w:t>
      </w:r>
      <w:r>
        <w:rPr>
          <w:rFonts w:hint="eastAsia" w:ascii="仿宋" w:hAnsi="仿宋" w:eastAsia="仿宋" w:cs="仿宋"/>
          <w:b/>
          <w:bCs/>
          <w:sz w:val="28"/>
          <w:szCs w:val="28"/>
        </w:rPr>
        <w:t>招标文件编制与评标</w:t>
      </w:r>
      <w:r>
        <w:rPr>
          <w:rFonts w:hint="eastAsia" w:ascii="仿宋" w:hAnsi="仿宋" w:eastAsia="仿宋" w:cs="仿宋"/>
          <w:b/>
          <w:bCs/>
          <w:sz w:val="28"/>
          <w:szCs w:val="28"/>
          <w:lang w:val="en-US" w:eastAsia="zh-CN"/>
        </w:rPr>
        <w:t>应注意的“13项关键点”</w:t>
      </w:r>
      <w:bookmarkEnd w:id="27"/>
      <w:bookmarkEnd w:id="28"/>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（1）招标范围：总、分包范围及界面必须划分清楚，彼此之间的衔接关系及其描述必须明确。</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（2）招标文件中关于投标人承担的风险内容及其范围（幅度）应给予明确规定，避免引起纠纷的发生。 </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（3）清单错、漏问题在招标答疑会上的解决方法应给予必要的说明。</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应对投标人不平衡报价做出限制，目前投标人在投标过程中有很多的技巧，其中在不平衡报价中目前用的淋漓尽致，如何反制，关键看招标文件中的条款及评标办法中的识别和反制措施（例如：结算工程量与清单工程量偏差±15%以上时，重新组价）。评标办法是投标人报价需研究的，如果设定了判断标准和反制措施，投标人不会冒着被废标的风险进行报价。</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（5）招标文件合同条款中应对索赔、变更、签证、价款调整的程序必须明确规定。</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（6）应对中标后签订合同前出具履约担保的要求，应在合同条款中明确规定。</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（7）市场未来波动引起人材机涨价时，双方合理承担风险的幅度应在合同条款中明确规定。</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（8）对于暂估单价材料的采购程序和单价确定方法应明确规定。</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（9）有关增值税的涉税条款，必须明确投标人开票类别、税率、违约责任必须明确规定。</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（10）对于非竞争性费用（包括安全文明施工费、规费、税金、暂列金额、暂估价、计日工量）在评标办法中应设置额外废标条件，如果投标人对非竞争性费用进行竞标的，可作为废标处理。</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（11）对于恶意竞标、投标报价可能低于成本的投标人设定必要的条件加以排除。</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（12）对于计日工报价和总承包服务费报价要做限制。</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（13）价、税双评细则。评价还要评税，这也是营改增后的计价关键点。</w:t>
      </w:r>
    </w:p>
    <w:p>
      <w:pPr>
        <w:widowControl w:val="0"/>
        <w:numPr>
          <w:ilvl w:val="0"/>
          <w:numId w:val="0"/>
        </w:numPr>
        <w:tabs>
          <w:tab w:val="left" w:pos="312"/>
        </w:tabs>
        <w:jc w:val="left"/>
        <w:outlineLvl w:val="1"/>
        <w:rPr>
          <w:rFonts w:hint="eastAsia" w:ascii="仿宋" w:hAnsi="仿宋" w:eastAsia="仿宋" w:cs="仿宋"/>
          <w:b/>
          <w:bCs/>
          <w:sz w:val="28"/>
          <w:szCs w:val="28"/>
          <w:lang w:val="en-US" w:eastAsia="zh-CN"/>
        </w:rPr>
      </w:pPr>
      <w:bookmarkStart w:id="29" w:name="_Toc19647"/>
      <w:bookmarkStart w:id="30" w:name="_Toc25917"/>
      <w:r>
        <w:rPr>
          <w:rFonts w:hint="eastAsia" w:ascii="仿宋" w:hAnsi="仿宋" w:eastAsia="仿宋" w:cs="仿宋"/>
          <w:b/>
          <w:bCs/>
          <w:sz w:val="28"/>
          <w:szCs w:val="28"/>
          <w:lang w:val="en-US" w:eastAsia="zh-CN"/>
        </w:rPr>
        <w:t>3.1.5 暂估价投标报价及结算纠纷应对策略</w:t>
      </w:r>
      <w:bookmarkEnd w:id="29"/>
      <w:bookmarkEnd w:id="30"/>
    </w:p>
    <w:p>
      <w:pPr>
        <w:ind w:firstLine="560" w:firstLineChars="20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暂估价分为三类，即</w:t>
      </w:r>
      <w:r>
        <w:rPr>
          <w:rFonts w:hint="eastAsia" w:ascii="仿宋" w:hAnsi="仿宋" w:eastAsia="仿宋" w:cs="仿宋"/>
          <w:color w:val="auto"/>
          <w:sz w:val="28"/>
          <w:szCs w:val="28"/>
          <w:lang w:val="en-US" w:eastAsia="zh-CN"/>
        </w:rPr>
        <w:t>：材料暂估价、工程设备暂估价、专业工程暂估价，暂估价，投标人如</w:t>
      </w:r>
      <w:r>
        <w:rPr>
          <w:rFonts w:hint="eastAsia" w:ascii="仿宋" w:hAnsi="仿宋" w:eastAsia="仿宋" w:cs="仿宋"/>
          <w:sz w:val="28"/>
          <w:szCs w:val="28"/>
          <w:lang w:val="en-US" w:eastAsia="zh-CN"/>
        </w:rPr>
        <w:t>何报价，应如何结算这是常见的争议。</w:t>
      </w:r>
    </w:p>
    <w:p>
      <w:pPr>
        <w:ind w:firstLine="562" w:firstLineChars="200"/>
        <w:jc w:val="left"/>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原因分析:</w:t>
      </w:r>
      <w:r>
        <w:rPr>
          <w:rFonts w:hint="eastAsia" w:ascii="仿宋" w:hAnsi="仿宋" w:eastAsia="仿宋" w:cs="仿宋"/>
          <w:color w:val="auto"/>
          <w:sz w:val="28"/>
          <w:szCs w:val="28"/>
          <w:lang w:val="en-US" w:eastAsia="zh-CN"/>
        </w:rPr>
        <w:t>施工图设计深度不足是导致产生暂估价的原因之一，施工</w:t>
      </w:r>
      <w:r>
        <w:rPr>
          <w:rFonts w:hint="eastAsia" w:ascii="仿宋" w:hAnsi="仿宋" w:eastAsia="仿宋" w:cs="仿宋"/>
          <w:sz w:val="28"/>
          <w:szCs w:val="28"/>
          <w:lang w:val="en-US" w:eastAsia="zh-CN"/>
        </w:rPr>
        <w:t>图纸某些关键部位的材料、设备规格型号没有标注，某些专业工程设计深度不足，导致无法计量计价。建设单位为了按时招标，对图纸中的材料、设备规格型号不明确的以暂估价计列；因设计深度不足的专业工程以专业工程暂估价计列。</w:t>
      </w:r>
    </w:p>
    <w:p>
      <w:pPr>
        <w:numPr>
          <w:ilvl w:val="0"/>
          <w:numId w:val="0"/>
        </w:numPr>
        <w:ind w:firstLine="562" w:firstLineChars="200"/>
        <w:jc w:val="left"/>
        <w:outlineLvl w:val="9"/>
        <w:rPr>
          <w:rFonts w:hint="eastAsia" w:ascii="仿宋" w:hAnsi="仿宋" w:eastAsia="仿宋" w:cs="仿宋"/>
          <w:color w:val="auto"/>
          <w:sz w:val="28"/>
          <w:szCs w:val="28"/>
          <w:lang w:val="en-US" w:eastAsia="zh-CN"/>
        </w:rPr>
      </w:pPr>
      <w:r>
        <w:rPr>
          <w:rFonts w:hint="eastAsia" w:ascii="仿宋" w:hAnsi="仿宋" w:eastAsia="仿宋" w:cs="仿宋"/>
          <w:b/>
          <w:bCs/>
          <w:sz w:val="28"/>
          <w:szCs w:val="28"/>
          <w:lang w:val="en-US" w:eastAsia="zh-CN"/>
        </w:rPr>
        <w:t>应对措施：</w:t>
      </w:r>
      <w:r>
        <w:rPr>
          <w:rFonts w:hint="eastAsia" w:ascii="仿宋" w:hAnsi="仿宋" w:eastAsia="仿宋" w:cs="仿宋"/>
          <w:b w:val="0"/>
          <w:bCs w:val="0"/>
          <w:sz w:val="28"/>
          <w:szCs w:val="28"/>
          <w:highlight w:val="none"/>
          <w:lang w:val="en-US" w:eastAsia="zh-CN"/>
        </w:rPr>
        <w:t>《2013清</w:t>
      </w:r>
      <w:r>
        <w:rPr>
          <w:rFonts w:hint="eastAsia" w:ascii="仿宋" w:hAnsi="仿宋" w:eastAsia="仿宋" w:cs="仿宋"/>
          <w:b w:val="0"/>
          <w:bCs w:val="0"/>
          <w:color w:val="auto"/>
          <w:sz w:val="28"/>
          <w:szCs w:val="28"/>
          <w:highlight w:val="none"/>
          <w:lang w:val="en-US" w:eastAsia="zh-CN"/>
        </w:rPr>
        <w:t>单规范》</w:t>
      </w:r>
      <w:r>
        <w:rPr>
          <w:rFonts w:hint="eastAsia" w:ascii="仿宋" w:hAnsi="仿宋" w:eastAsia="仿宋" w:cs="仿宋"/>
          <w:color w:val="auto"/>
          <w:sz w:val="28"/>
          <w:szCs w:val="28"/>
          <w:lang w:val="en-US" w:eastAsia="zh-CN"/>
        </w:rPr>
        <w:t xml:space="preserve">9.10.1条的规定“招标人在工程量清单中提供了暂估价的材料和专业工程，如属于依法必须招标的，由承包人和招标人共同通过招标确定材料单价与专业工程报价”。 </w:t>
      </w:r>
    </w:p>
    <w:p>
      <w:pPr>
        <w:widowControl w:val="0"/>
        <w:numPr>
          <w:ilvl w:val="0"/>
          <w:numId w:val="0"/>
        </w:numPr>
        <w:tabs>
          <w:tab w:val="left" w:pos="312"/>
        </w:tabs>
        <w:jc w:val="left"/>
        <w:outlineLvl w:val="1"/>
        <w:rPr>
          <w:rFonts w:hint="default" w:ascii="仿宋" w:hAnsi="仿宋" w:eastAsia="仿宋" w:cs="仿宋"/>
          <w:b/>
          <w:bCs/>
          <w:sz w:val="28"/>
          <w:szCs w:val="28"/>
          <w:lang w:val="en-US" w:eastAsia="zh-CN"/>
        </w:rPr>
      </w:pPr>
      <w:bookmarkStart w:id="31" w:name="_Toc18563"/>
      <w:bookmarkStart w:id="32" w:name="_Toc1025"/>
      <w:r>
        <w:rPr>
          <w:rFonts w:hint="eastAsia" w:ascii="仿宋" w:hAnsi="仿宋" w:eastAsia="仿宋" w:cs="仿宋"/>
          <w:b/>
          <w:bCs/>
          <w:sz w:val="28"/>
          <w:szCs w:val="28"/>
          <w:lang w:val="en-US" w:eastAsia="zh-CN"/>
        </w:rPr>
        <w:t>3.1.5 加强设计合同策划“四个方面的相关条款”</w:t>
      </w:r>
      <w:bookmarkEnd w:id="31"/>
      <w:bookmarkEnd w:id="32"/>
    </w:p>
    <w:p>
      <w:pPr>
        <w:widowControl w:val="0"/>
        <w:numPr>
          <w:ilvl w:val="0"/>
          <w:numId w:val="0"/>
        </w:numPr>
        <w:ind w:firstLine="560" w:firstLineChars="20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工程设计图纸的编制深度、完整性对工程量清单编制的质量至关重要，因为工程量清单编制所需要的分部分项工程量清单项目描述、工程量计算等主要内容，都要从设计图纸中得知，也是导致暂估价存在因素之一。签好设计合同建议增加以下四个方面的相关条款：</w:t>
      </w:r>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1.由于设计院设计图纸的漏洞，设计错误或设计深度不够导致清单编制错误，尤其导致清单特征描述不到位，进而导致变更发生，导致投资超控，责任由设计院承担。</w:t>
      </w:r>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2.控制设计费的支付比例，约定奖惩条款，如：因设计图纸原因导致清单错误、漏项、投资超控的，应扣减一定报酬。</w:t>
      </w:r>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设计招标文件中明确，设计中标后，签订合同之前，设计院要向业主方提交设计责任担保。由此一来因设计原因导致的赔偿，设计费不足以扣减时，担保公司为设计院无条件向业主赔偿损失，同时担保公司则会请高水平的设计人员，参与设计文件的编、审。</w:t>
      </w:r>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4.约定设计变更率，并设置一个奖励惩戒机制，如：实际变更率超过合同约定变更率，应扣减一定报酬，反之奖励。</w:t>
      </w:r>
    </w:p>
    <w:p>
      <w:pPr>
        <w:widowControl w:val="0"/>
        <w:numPr>
          <w:ilvl w:val="0"/>
          <w:numId w:val="0"/>
        </w:numPr>
        <w:tabs>
          <w:tab w:val="left" w:pos="312"/>
        </w:tabs>
        <w:jc w:val="left"/>
        <w:outlineLvl w:val="1"/>
        <w:rPr>
          <w:rFonts w:hint="eastAsia" w:ascii="仿宋" w:hAnsi="仿宋" w:eastAsia="仿宋" w:cs="仿宋"/>
          <w:b/>
          <w:bCs/>
          <w:sz w:val="28"/>
          <w:szCs w:val="28"/>
          <w:highlight w:val="none"/>
          <w:lang w:val="en-US" w:eastAsia="zh-CN"/>
        </w:rPr>
      </w:pPr>
      <w:bookmarkStart w:id="33" w:name="_Toc31279"/>
      <w:bookmarkStart w:id="34" w:name="_Toc1900"/>
      <w:r>
        <w:rPr>
          <w:rFonts w:hint="eastAsia" w:ascii="仿宋" w:hAnsi="仿宋" w:eastAsia="仿宋" w:cs="仿宋"/>
          <w:b/>
          <w:bCs/>
          <w:sz w:val="28"/>
          <w:szCs w:val="28"/>
          <w:lang w:val="en-US" w:eastAsia="zh-CN"/>
        </w:rPr>
        <w:t xml:space="preserve">3.1.6 </w:t>
      </w:r>
      <w:r>
        <w:rPr>
          <w:rFonts w:hint="eastAsia" w:ascii="仿宋" w:hAnsi="仿宋" w:eastAsia="仿宋" w:cs="仿宋"/>
          <w:b/>
          <w:bCs/>
          <w:sz w:val="28"/>
          <w:szCs w:val="28"/>
          <w:highlight w:val="none"/>
          <w:lang w:val="en-US" w:eastAsia="zh-CN"/>
        </w:rPr>
        <w:t>合约签订前的要点</w:t>
      </w:r>
      <w:bookmarkEnd w:id="33"/>
      <w:bookmarkEnd w:id="34"/>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1.合同内部审核</w:t>
      </w:r>
    </w:p>
    <w:p>
      <w:pPr>
        <w:widowControl w:val="0"/>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招采部、工程部、法务部、造价部、审计部、财务部等，各部门对合同当中对应的职权、条款审查、提出问题与修改意见。</w:t>
      </w:r>
    </w:p>
    <w:p>
      <w:pPr>
        <w:widowControl w:val="0"/>
        <w:numPr>
          <w:ilvl w:val="0"/>
          <w:numId w:val="0"/>
        </w:numPr>
        <w:ind w:firstLine="560" w:firstLineChars="200"/>
        <w:jc w:val="left"/>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2.合同洽商</w:t>
      </w:r>
    </w:p>
    <w:p>
      <w:pPr>
        <w:widowControl w:val="0"/>
        <w:numPr>
          <w:ilvl w:val="0"/>
          <w:numId w:val="0"/>
        </w:numPr>
        <w:ind w:firstLine="560" w:firstLineChars="20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highlight w:val="none"/>
          <w:lang w:val="en-US" w:eastAsia="zh-CN"/>
        </w:rPr>
        <w:t>甲、乙双方应完善招标文件合同条款拟定的漏洞；针对</w:t>
      </w:r>
      <w:r>
        <w:rPr>
          <w:rFonts w:hint="eastAsia" w:ascii="仿宋" w:hAnsi="仿宋" w:eastAsia="仿宋" w:cs="仿宋"/>
          <w:sz w:val="28"/>
          <w:szCs w:val="28"/>
          <w:lang w:val="en-US" w:eastAsia="zh-CN"/>
        </w:rPr>
        <w:t>招标过程中出现的清单漏洞、图纸漏洞、招标答疑、其他重要情况补充相应的条款、说明。双方合同内部审核提出的意见和建议，进行必要的修改和完善。</w:t>
      </w:r>
    </w:p>
    <w:p>
      <w:pPr>
        <w:numPr>
          <w:ilvl w:val="0"/>
          <w:numId w:val="0"/>
        </w:numPr>
        <w:jc w:val="center"/>
        <w:outlineLvl w:val="0"/>
        <w:rPr>
          <w:rFonts w:hint="eastAsia" w:ascii="仿宋" w:hAnsi="仿宋" w:eastAsia="仿宋" w:cs="仿宋"/>
          <w:b/>
          <w:bCs/>
          <w:sz w:val="28"/>
          <w:szCs w:val="28"/>
          <w:lang w:val="en-US" w:eastAsia="zh-CN"/>
        </w:rPr>
      </w:pPr>
      <w:bookmarkStart w:id="35" w:name="_Toc7351"/>
      <w:bookmarkStart w:id="36" w:name="_Toc10090"/>
      <w:r>
        <w:rPr>
          <w:rFonts w:hint="eastAsia" w:ascii="仿宋" w:hAnsi="仿宋" w:eastAsia="仿宋" w:cs="仿宋"/>
          <w:b/>
          <w:bCs/>
          <w:sz w:val="28"/>
          <w:szCs w:val="28"/>
          <w:lang w:val="en-US" w:eastAsia="zh-CN"/>
        </w:rPr>
        <w:t>3.2 施工合同策划环节</w:t>
      </w:r>
      <w:bookmarkEnd w:id="35"/>
      <w:bookmarkEnd w:id="36"/>
    </w:p>
    <w:p>
      <w:pPr>
        <w:widowControl w:val="0"/>
        <w:numPr>
          <w:ilvl w:val="0"/>
          <w:numId w:val="0"/>
        </w:numPr>
        <w:tabs>
          <w:tab w:val="left" w:pos="312"/>
        </w:tabs>
        <w:jc w:val="left"/>
        <w:outlineLvl w:val="1"/>
        <w:rPr>
          <w:rFonts w:hint="eastAsia" w:ascii="仿宋" w:hAnsi="仿宋" w:eastAsia="仿宋" w:cs="仿宋"/>
          <w:b/>
          <w:bCs/>
          <w:sz w:val="28"/>
          <w:szCs w:val="28"/>
          <w:lang w:val="en-US" w:eastAsia="zh-CN"/>
        </w:rPr>
      </w:pPr>
      <w:bookmarkStart w:id="37" w:name="_Toc23340"/>
      <w:bookmarkStart w:id="38" w:name="_Toc28920"/>
      <w:r>
        <w:rPr>
          <w:rFonts w:hint="eastAsia" w:ascii="仿宋" w:hAnsi="仿宋" w:eastAsia="仿宋" w:cs="仿宋"/>
          <w:b/>
          <w:bCs/>
          <w:sz w:val="28"/>
          <w:szCs w:val="28"/>
          <w:lang w:val="en-US" w:eastAsia="zh-CN"/>
        </w:rPr>
        <w:t>3.2.1 合同履行期间发生争议的处理原则</w:t>
      </w:r>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合同是双方的最高行为准则，在合同履行过程中，如发生争议第一原则是按合同的约定执行，若合同中没有约定或约定不明确，由双方协商确定；协商不能达成一致的按相关法律、法规、行业规范、标准，即：</w:t>
      </w:r>
      <w:r>
        <w:rPr>
          <w:rFonts w:hint="eastAsia" w:ascii="仿宋" w:hAnsi="仿宋" w:eastAsia="仿宋" w:cs="仿宋"/>
          <w:b/>
          <w:bCs/>
          <w:sz w:val="28"/>
          <w:szCs w:val="28"/>
          <w:lang w:val="en-US" w:eastAsia="zh-CN"/>
        </w:rPr>
        <w:t>有约定按约定，没有约定按法定</w:t>
      </w:r>
      <w:r>
        <w:rPr>
          <w:rFonts w:hint="eastAsia" w:ascii="仿宋" w:hAnsi="仿宋" w:eastAsia="仿宋" w:cs="仿宋"/>
          <w:b w:val="0"/>
          <w:bCs w:val="0"/>
          <w:sz w:val="28"/>
          <w:szCs w:val="28"/>
          <w:lang w:val="en-US" w:eastAsia="zh-CN"/>
        </w:rPr>
        <w:t>。这是合同谈判的原则，也是审计的原则。</w:t>
      </w:r>
    </w:p>
    <w:p>
      <w:pPr>
        <w:widowControl w:val="0"/>
        <w:numPr>
          <w:ilvl w:val="0"/>
          <w:numId w:val="0"/>
        </w:numPr>
        <w:tabs>
          <w:tab w:val="left" w:pos="312"/>
        </w:tabs>
        <w:jc w:val="left"/>
        <w:outlineLvl w:val="1"/>
        <w:rPr>
          <w:rFonts w:hint="eastAsia" w:ascii="仿宋" w:hAnsi="仿宋" w:eastAsia="仿宋" w:cs="仿宋"/>
          <w:b/>
          <w:bCs/>
          <w:sz w:val="28"/>
          <w:szCs w:val="28"/>
          <w:lang w:val="en-US" w:eastAsia="zh-CN"/>
        </w:rPr>
      </w:pPr>
      <w:bookmarkStart w:id="39" w:name="_Toc30451"/>
      <w:bookmarkStart w:id="40" w:name="_Toc1940"/>
      <w:r>
        <w:rPr>
          <w:rFonts w:hint="eastAsia" w:ascii="仿宋" w:hAnsi="仿宋" w:eastAsia="仿宋" w:cs="仿宋"/>
          <w:b/>
          <w:bCs/>
          <w:sz w:val="28"/>
          <w:szCs w:val="28"/>
          <w:lang w:val="en-US" w:eastAsia="zh-CN"/>
        </w:rPr>
        <w:t>3.2.2 施工合同的10项关键点</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发、承包双方签订施工合同时，应仔细审核有关付款比例、付款时间、计量、计价的依据等以下10项关键点条款：</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①预付工程款的数额、支付时间及抵扣方式；</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②安全文明措施费的支付计划，使用要求；</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③工程计量与支付工程进度款的方式、数额及时间；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④工程价款的调整因素、方法、程序、支付及时间；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⑤施工索赔与现场签证的程序、金额确认与支付时间；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⑥承担风险的内容、范围以及超出约定内容、范围的调整办法；</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⑦工程竣工价款结算编制与核对、支付及时间；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⑧工程质量保证（保修）金的数额、预扣方式及时间；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⑨违约责任及发生工程价款争议的解决方法及时间；</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⑩与履行合同、支付价款有关的其他事项等。</w:t>
      </w:r>
    </w:p>
    <w:p>
      <w:pPr>
        <w:widowControl w:val="0"/>
        <w:numPr>
          <w:ilvl w:val="0"/>
          <w:numId w:val="0"/>
        </w:numPr>
        <w:tabs>
          <w:tab w:val="left" w:pos="312"/>
        </w:tabs>
        <w:jc w:val="left"/>
        <w:outlineLvl w:val="1"/>
        <w:rPr>
          <w:rFonts w:hint="eastAsia" w:ascii="仿宋" w:hAnsi="仿宋" w:eastAsia="仿宋" w:cs="仿宋"/>
          <w:b/>
          <w:bCs/>
          <w:sz w:val="28"/>
          <w:szCs w:val="28"/>
          <w:highlight w:val="none"/>
          <w:lang w:val="en-US" w:eastAsia="zh-CN"/>
        </w:rPr>
      </w:pPr>
      <w:bookmarkStart w:id="41" w:name="_Toc32054"/>
      <w:bookmarkStart w:id="42" w:name="_Toc16158"/>
      <w:r>
        <w:rPr>
          <w:rFonts w:hint="eastAsia" w:ascii="仿宋" w:hAnsi="仿宋" w:eastAsia="仿宋" w:cs="仿宋"/>
          <w:b/>
          <w:bCs/>
          <w:sz w:val="28"/>
          <w:szCs w:val="28"/>
          <w:lang w:val="en-US" w:eastAsia="zh-CN"/>
        </w:rPr>
        <w:t xml:space="preserve">3.2.3 </w:t>
      </w:r>
      <w:r>
        <w:rPr>
          <w:rFonts w:hint="eastAsia" w:ascii="仿宋" w:hAnsi="仿宋" w:eastAsia="仿宋" w:cs="仿宋"/>
          <w:b/>
          <w:bCs/>
          <w:sz w:val="28"/>
          <w:szCs w:val="28"/>
          <w:highlight w:val="none"/>
          <w:lang w:val="en-US" w:eastAsia="zh-CN"/>
        </w:rPr>
        <w:t>合同风险责任划分的原则</w:t>
      </w:r>
      <w:r>
        <w:rPr>
          <w:rFonts w:hint="eastAsia" w:ascii="仿宋" w:hAnsi="仿宋" w:eastAsia="仿宋" w:cs="仿宋"/>
          <w:b/>
          <w:bCs/>
          <w:sz w:val="28"/>
          <w:szCs w:val="28"/>
          <w:lang w:val="en-US" w:eastAsia="zh-CN"/>
        </w:rPr>
        <w:t>【一强制四原则】</w:t>
      </w:r>
      <w:bookmarkEnd w:id="41"/>
      <w:bookmarkEnd w:id="42"/>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工业产品一般是先制造后定价，建筑产品是先定价后制造，原因一是，建设工程周期长，存在签证、设计变更，法律法规、规章、政策、物件等变化影响的风险；二是，建筑产品是唯一的、不是成批的。</w:t>
      </w:r>
    </w:p>
    <w:p>
      <w:p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1.一强制性规定【</w:t>
      </w:r>
      <w:r>
        <w:rPr>
          <w:rFonts w:hint="eastAsia" w:ascii="仿宋" w:hAnsi="仿宋" w:eastAsia="仿宋" w:cs="仿宋"/>
          <w:sz w:val="28"/>
          <w:szCs w:val="28"/>
          <w:lang w:val="en-US" w:eastAsia="zh-CN"/>
        </w:rPr>
        <w:t>13清单3.4.1条</w:t>
      </w:r>
      <w:r>
        <w:rPr>
          <w:rFonts w:hint="eastAsia" w:ascii="仿宋" w:hAnsi="仿宋" w:eastAsia="仿宋" w:cs="仿宋"/>
          <w:b/>
          <w:bCs/>
          <w:sz w:val="28"/>
          <w:szCs w:val="28"/>
          <w:lang w:val="en-US" w:eastAsia="zh-CN"/>
        </w:rPr>
        <w:t>】</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建设工程发承包，必须在招标文件，合同中明确计价中的风险内容及其范围，不得采用无限风险、所有风险或类似语句规定计价中的风险内容及范围。</w:t>
      </w:r>
    </w:p>
    <w:p>
      <w:p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2.四个原则</w:t>
      </w:r>
    </w:p>
    <w:p>
      <w:pPr>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个原则：建设单位承担的三类风险，①国家法律法规变化、部门规章变化、地方政策发生变化、引起造价变化的风险；②省级或行业建设主管部门发布的人工费调整（承包商报价单价高于发布的人工单价除外）；③由政府定价或政府指导价管理的</w:t>
      </w:r>
      <w:r>
        <w:rPr>
          <w:rFonts w:hint="eastAsia" w:ascii="仿宋" w:hAnsi="仿宋" w:eastAsia="仿宋" w:cs="仿宋"/>
          <w:color w:val="0000FF"/>
          <w:sz w:val="28"/>
          <w:szCs w:val="28"/>
          <w:lang w:val="en-US" w:eastAsia="zh-CN"/>
        </w:rPr>
        <w:t>原材料</w:t>
      </w:r>
      <w:r>
        <w:rPr>
          <w:rFonts w:hint="eastAsia" w:ascii="仿宋" w:hAnsi="仿宋" w:eastAsia="仿宋" w:cs="仿宋"/>
          <w:sz w:val="28"/>
          <w:szCs w:val="28"/>
          <w:lang w:val="en-US" w:eastAsia="zh-CN"/>
        </w:rPr>
        <w:t>等价格进行了调整的风险也由发包商承担。</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第二个原则：技术管理风险由承包人承担，施工单位由于管理不善，现场发生质量事故，造成返工的风险由承包人承担。</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个原则：市场物价波动风险：应由发、承包双方合理分摊，13清单9.8.2条“承包人采购材料和工程设备的，应在合同中约定主要材料、工程设备价格变化的范围或幅度；当没有约定，且材料、工程设备单价变化超过5%时，超过部分的价格应按照本规范附录A的方法计算调整材料、工程设备费”。</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第四个原则：13清单9.10.1条规定，因不可抗力事件（不能预见，不可避免并不能克服的客观情况）发生导致的人员伤亡、财产损失及其费用增加，发承包双方应按下列原则分别承担并调整合同价款：</w:t>
      </w:r>
    </w:p>
    <w:p>
      <w:pPr>
        <w:numPr>
          <w:ilvl w:val="0"/>
          <w:numId w:val="1"/>
        </w:numPr>
        <w:ind w:left="70" w:leftChars="0" w:firstLine="560" w:firstLineChars="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合同工程本身的损害、因工程损害导致第三人员伤亡和财产损失以及运至施工场地用于施工的材料和待安装的设备的损害，应由发包人承担。</w:t>
      </w:r>
    </w:p>
    <w:p>
      <w:pPr>
        <w:numPr>
          <w:ilvl w:val="0"/>
          <w:numId w:val="1"/>
        </w:numPr>
        <w:ind w:left="70" w:leftChars="0" w:firstLine="560" w:firstLineChars="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发包人、承包人人员伤亡应有其所在单位负责，并应承担相应费用。</w:t>
      </w:r>
    </w:p>
    <w:p>
      <w:pPr>
        <w:numPr>
          <w:ilvl w:val="0"/>
          <w:numId w:val="1"/>
        </w:numPr>
        <w:ind w:left="70" w:leftChars="0" w:firstLine="560" w:firstLineChars="0"/>
        <w:jc w:val="left"/>
        <w:outlineLvl w:val="9"/>
        <w:rPr>
          <w:rFonts w:hint="default" w:ascii="仿宋" w:hAnsi="仿宋" w:eastAsia="仿宋" w:cs="仿宋"/>
          <w:b w:val="0"/>
          <w:kern w:val="2"/>
          <w:sz w:val="28"/>
          <w:szCs w:val="28"/>
          <w:lang w:val="en-US" w:eastAsia="zh-CN" w:bidi="ar-SA"/>
        </w:rPr>
      </w:pPr>
      <w:r>
        <w:rPr>
          <w:rFonts w:hint="eastAsia" w:ascii="仿宋" w:hAnsi="仿宋" w:eastAsia="仿宋" w:cs="仿宋"/>
          <w:sz w:val="28"/>
          <w:szCs w:val="28"/>
          <w:lang w:val="en-US" w:eastAsia="zh-CN"/>
        </w:rPr>
        <w:t>承包人的施工机械设备损坏及停工损失，应由承包人承担。</w:t>
      </w:r>
    </w:p>
    <w:p>
      <w:pPr>
        <w:numPr>
          <w:ilvl w:val="0"/>
          <w:numId w:val="1"/>
        </w:numPr>
        <w:ind w:left="70" w:leftChars="0" w:firstLine="560" w:firstLineChars="0"/>
        <w:jc w:val="left"/>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停工期间，承包人应发包人要求留在施工场地的必要的管理人员及保卫人员的费用应由发包人承担。</w:t>
      </w:r>
    </w:p>
    <w:p>
      <w:pPr>
        <w:numPr>
          <w:ilvl w:val="0"/>
          <w:numId w:val="1"/>
        </w:numPr>
        <w:ind w:left="70" w:leftChars="0" w:firstLine="560" w:firstLineChars="0"/>
        <w:jc w:val="left"/>
        <w:outlineLvl w:val="9"/>
        <w:rPr>
          <w:rFonts w:hint="default"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工程所需清理、修复费用，应由发包人承担。</w:t>
      </w:r>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13清单9.10.12规定：“不可抗力解除后复工的，若不能按期竣工，应合理延长工期。发包人要求赶工的，赶工费用应由发包人承担”。</w:t>
      </w:r>
    </w:p>
    <w:p>
      <w:pPr>
        <w:jc w:val="center"/>
        <w:outlineLvl w:val="0"/>
        <w:rPr>
          <w:rFonts w:hint="eastAsia" w:ascii="仿宋" w:hAnsi="仿宋" w:eastAsia="仿宋" w:cs="仿宋"/>
          <w:b/>
          <w:bCs/>
          <w:sz w:val="28"/>
          <w:szCs w:val="28"/>
          <w:lang w:val="en-US" w:eastAsia="zh-CN"/>
        </w:rPr>
      </w:pPr>
      <w:bookmarkStart w:id="43" w:name="_Toc30253"/>
      <w:bookmarkStart w:id="44" w:name="_Toc21804"/>
      <w:r>
        <w:rPr>
          <w:rFonts w:hint="eastAsia" w:ascii="仿宋" w:hAnsi="仿宋" w:eastAsia="仿宋" w:cs="仿宋"/>
          <w:b/>
          <w:bCs/>
          <w:sz w:val="28"/>
          <w:szCs w:val="28"/>
          <w:lang w:val="en-US" w:eastAsia="zh-CN"/>
        </w:rPr>
        <w:t>3.3 工程计量精细化管控环节</w:t>
      </w:r>
      <w:bookmarkEnd w:id="43"/>
      <w:bookmarkEnd w:id="44"/>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目前工程款的支付有两个支付方式，一个是按月支付，一个按形象节点支付。按月支付按月计量，按形象节点支付就按形象节点计量。计量是支付的依据，工程量的控制是我们造价成本控制的前提，控制好造价首先要控制好量，所以过程计量环节就是造价踪控制的重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outlineLvl w:val="1"/>
        <w:rPr>
          <w:rFonts w:hint="default" w:ascii="仿宋" w:hAnsi="仿宋" w:eastAsia="仿宋" w:cs="仿宋"/>
          <w:b/>
          <w:bCs/>
          <w:kern w:val="2"/>
          <w:sz w:val="28"/>
          <w:szCs w:val="28"/>
          <w:lang w:val="en-US" w:eastAsia="zh-CN" w:bidi="ar-SA"/>
        </w:rPr>
      </w:pPr>
      <w:bookmarkStart w:id="45" w:name="_Toc26211"/>
      <w:r>
        <w:rPr>
          <w:rFonts w:hint="eastAsia" w:ascii="仿宋" w:hAnsi="仿宋" w:eastAsia="仿宋" w:cs="仿宋"/>
          <w:b/>
          <w:bCs/>
          <w:kern w:val="2"/>
          <w:sz w:val="28"/>
          <w:szCs w:val="28"/>
          <w:lang w:val="en-US" w:eastAsia="zh-CN" w:bidi="ar-SA"/>
        </w:rPr>
        <w:t>3.3.1 计量环节存在的常见问题及原因</w:t>
      </w:r>
      <w:bookmarkEnd w:id="45"/>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按月支付通常是有承包人上报，由咨询单位审核，经调研发现存在承包人每月报量时一定会给多报，咨询单位使劲往下砍，导致过程中很容易方式扯皮、纠纷，计量纠纷导致支付纠纷，支付纠纷导致工程款拖欠，工程款拖欠导致农民工工资拖欠，农民工工资拖欠会导致社会动荡不安，原来社会动荡不安就是因为计量引起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过去政政府没有发布相关的法律法规、政策规范对每月的计量标准进行统一，没有计量标准，承包人可以多报，甲方可以多审，这就是根源。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outlineLvl w:val="1"/>
        <w:rPr>
          <w:rFonts w:hint="eastAsia" w:ascii="仿宋" w:hAnsi="仿宋" w:eastAsia="仿宋" w:cs="仿宋"/>
          <w:b/>
          <w:bCs/>
          <w:kern w:val="2"/>
          <w:sz w:val="28"/>
          <w:szCs w:val="28"/>
          <w:lang w:val="en-US" w:eastAsia="zh-CN" w:bidi="ar-SA"/>
        </w:rPr>
      </w:pPr>
      <w:bookmarkStart w:id="46" w:name="_Toc23655"/>
      <w:r>
        <w:rPr>
          <w:rFonts w:hint="eastAsia" w:ascii="仿宋" w:hAnsi="仿宋" w:eastAsia="仿宋" w:cs="仿宋"/>
          <w:b/>
          <w:bCs/>
          <w:kern w:val="2"/>
          <w:sz w:val="28"/>
          <w:szCs w:val="28"/>
          <w:lang w:val="en-US" w:eastAsia="zh-CN" w:bidi="ar-SA"/>
        </w:rPr>
        <w:t>3.3.2 应对措施</w:t>
      </w:r>
      <w:bookmarkEnd w:id="46"/>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计量标准有范围标准，方法标准，程序标准。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范围标准：</w:t>
      </w:r>
      <w:r>
        <w:rPr>
          <w:rFonts w:hint="eastAsia" w:ascii="仿宋" w:hAnsi="仿宋" w:eastAsia="仿宋" w:cs="仿宋"/>
          <w:kern w:val="2"/>
          <w:sz w:val="28"/>
          <w:szCs w:val="28"/>
          <w:lang w:val="en-US" w:eastAsia="zh-CN" w:bidi="ar-SA"/>
        </w:rPr>
        <w:t>《2013清单计价规范》 8.2.2 规定：“施工中工程计量时，若发现招标工程量清单中</w:t>
      </w:r>
      <w:r>
        <w:rPr>
          <w:rFonts w:hint="eastAsia" w:ascii="仿宋" w:hAnsi="仿宋" w:eastAsia="仿宋" w:cs="仿宋"/>
          <w:b w:val="0"/>
          <w:bCs w:val="0"/>
          <w:kern w:val="2"/>
          <w:sz w:val="28"/>
          <w:szCs w:val="28"/>
          <w:lang w:val="en-US" w:eastAsia="zh-CN" w:bidi="ar-SA"/>
        </w:rPr>
        <w:t>出现缺项、工程量偏差，或因工程变更引起工程量的增减，应按承包人在履行合同义务中完成的实际工程量计算</w:t>
      </w:r>
      <w:r>
        <w:rPr>
          <w:rFonts w:hint="eastAsia" w:ascii="仿宋" w:hAnsi="仿宋" w:eastAsia="仿宋" w:cs="仿宋"/>
          <w:kern w:val="2"/>
          <w:sz w:val="28"/>
          <w:szCs w:val="28"/>
          <w:lang w:val="en-US" w:eastAsia="zh-CN" w:bidi="ar-SA"/>
        </w:rPr>
        <w:t>”，</w:t>
      </w:r>
      <w:r>
        <w:rPr>
          <w:rFonts w:hint="eastAsia" w:ascii="仿宋" w:hAnsi="仿宋" w:eastAsia="仿宋" w:cs="仿宋"/>
          <w:b w:val="0"/>
          <w:bCs w:val="0"/>
          <w:kern w:val="2"/>
          <w:sz w:val="28"/>
          <w:szCs w:val="28"/>
          <w:lang w:val="en-US" w:eastAsia="zh-CN" w:bidi="ar-SA"/>
        </w:rPr>
        <w:t>按时计量。</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方法标准</w:t>
      </w:r>
      <w:r>
        <w:rPr>
          <w:rFonts w:hint="eastAsia" w:ascii="仿宋" w:hAnsi="仿宋" w:eastAsia="仿宋" w:cs="仿宋"/>
          <w:b w:val="0"/>
          <w:bCs w:val="0"/>
          <w:kern w:val="2"/>
          <w:sz w:val="28"/>
          <w:szCs w:val="28"/>
          <w:lang w:val="en-US" w:eastAsia="zh-CN" w:bidi="ar-SA"/>
        </w:rPr>
        <w:t>：计量是与合同类型相关的，固定单价合同，固定总价合同（清单招标固定总价、定额招标固定总价）。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lang w:val="en-US" w:eastAsia="zh-CN"/>
        </w:rPr>
      </w:pPr>
      <w:r>
        <w:rPr>
          <w:rFonts w:hint="eastAsia" w:ascii="仿宋" w:hAnsi="仿宋" w:eastAsia="仿宋" w:cs="仿宋"/>
          <w:b/>
          <w:bCs/>
          <w:kern w:val="2"/>
          <w:sz w:val="28"/>
          <w:szCs w:val="28"/>
          <w:lang w:val="en-US" w:eastAsia="zh-CN" w:bidi="ar-SA"/>
        </w:rPr>
        <w:t>程序标准：</w:t>
      </w:r>
      <w:r>
        <w:rPr>
          <w:rFonts w:hint="eastAsia" w:ascii="仿宋" w:hAnsi="仿宋" w:eastAsia="仿宋" w:cs="仿宋"/>
          <w:b w:val="0"/>
          <w:bCs w:val="0"/>
          <w:kern w:val="2"/>
          <w:sz w:val="28"/>
          <w:szCs w:val="28"/>
          <w:lang w:val="en-US" w:eastAsia="zh-CN" w:bidi="ar-SA"/>
        </w:rPr>
        <w:t>有约定按约定，没有约定按法定。</w:t>
      </w:r>
      <w:r>
        <w:rPr>
          <w:rFonts w:hint="eastAsia"/>
          <w:lang w:val="en-US" w:eastAsia="zh-CN"/>
        </w:rPr>
        <w:t xml:space="preserve">      </w:t>
      </w:r>
    </w:p>
    <w:p>
      <w:pPr>
        <w:numPr>
          <w:ilvl w:val="0"/>
          <w:numId w:val="0"/>
        </w:numPr>
        <w:ind w:firstLine="562" w:firstLineChars="200"/>
        <w:jc w:val="left"/>
        <w:outlineLvl w:val="1"/>
        <w:rPr>
          <w:rFonts w:hint="default" w:ascii="仿宋" w:hAnsi="仿宋" w:eastAsia="仿宋" w:cs="仿宋"/>
          <w:b/>
          <w:bCs/>
          <w:sz w:val="28"/>
          <w:szCs w:val="28"/>
          <w:lang w:val="en-US" w:eastAsia="zh-CN"/>
        </w:rPr>
      </w:pPr>
      <w:bookmarkStart w:id="47" w:name="_Toc24216"/>
      <w:r>
        <w:rPr>
          <w:rFonts w:hint="eastAsia" w:ascii="仿宋" w:hAnsi="仿宋" w:eastAsia="仿宋" w:cs="仿宋"/>
          <w:b/>
          <w:bCs/>
          <w:kern w:val="2"/>
          <w:sz w:val="28"/>
          <w:szCs w:val="28"/>
          <w:lang w:val="en-US" w:eastAsia="zh-CN" w:bidi="ar-SA"/>
        </w:rPr>
        <w:t>3.3.</w:t>
      </w:r>
      <w:r>
        <w:rPr>
          <w:rFonts w:hint="eastAsia" w:ascii="仿宋" w:hAnsi="仿宋" w:eastAsia="仿宋" w:cs="仿宋"/>
          <w:b/>
          <w:bCs/>
          <w:sz w:val="28"/>
          <w:szCs w:val="28"/>
          <w:lang w:val="en-US" w:eastAsia="zh-CN"/>
        </w:rPr>
        <w:t>3 过程结算新思路</w:t>
      </w:r>
      <w:bookmarkEnd w:id="47"/>
    </w:p>
    <w:p>
      <w:pPr>
        <w:numPr>
          <w:ilvl w:val="0"/>
          <w:numId w:val="0"/>
        </w:numPr>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《2013清单计价规范》有关过程结算思路的条款：</w:t>
      </w:r>
    </w:p>
    <w:p>
      <w:pPr>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第8.2.6条：承包人完成已标价工程量清单中每个项目的工程量并经发包人核实无误后，发承包双方应对每个项目的历次计量结果进行汇总，以核实最终竣工结算工程量，并在汇总表上签字确认。</w:t>
      </w:r>
    </w:p>
    <w:p>
      <w:pPr>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第11.2.6条：承发包双方在合同工程实施过程中已经确认的工程计量结果和合同价款，在竣工结算办理中应直接进入结算。</w:t>
      </w:r>
    </w:p>
    <w:p>
      <w:pPr>
        <w:numPr>
          <w:ilvl w:val="0"/>
          <w:numId w:val="0"/>
        </w:num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第11.3.1条：合同工程完工后，承包人应在经发承包双方确认的合同工程期中价款结算的基础上汇总编制完成竣工结算文件</w:t>
      </w:r>
    </w:p>
    <w:p>
      <w:pPr>
        <w:numPr>
          <w:ilvl w:val="0"/>
          <w:numId w:val="0"/>
        </w:numPr>
        <w:jc w:val="center"/>
        <w:outlineLvl w:val="0"/>
        <w:rPr>
          <w:rFonts w:hint="eastAsia" w:ascii="仿宋" w:hAnsi="仿宋" w:eastAsia="仿宋" w:cs="仿宋"/>
          <w:b/>
          <w:bCs/>
          <w:sz w:val="28"/>
          <w:szCs w:val="28"/>
          <w:lang w:val="en-US" w:eastAsia="zh-CN"/>
        </w:rPr>
      </w:pPr>
      <w:bookmarkStart w:id="48" w:name="_Toc3125"/>
      <w:bookmarkStart w:id="49" w:name="_Toc18367"/>
      <w:r>
        <w:rPr>
          <w:rFonts w:hint="eastAsia" w:ascii="仿宋" w:hAnsi="仿宋" w:eastAsia="仿宋" w:cs="仿宋"/>
          <w:b/>
          <w:bCs/>
          <w:sz w:val="28"/>
          <w:szCs w:val="28"/>
          <w:lang w:val="en-US" w:eastAsia="zh-CN"/>
        </w:rPr>
        <w:t>3.4 价款支付环节</w:t>
      </w:r>
      <w:bookmarkEnd w:id="48"/>
      <w:bookmarkEnd w:id="49"/>
    </w:p>
    <w:p>
      <w:pPr>
        <w:widowControl w:val="0"/>
        <w:numPr>
          <w:ilvl w:val="0"/>
          <w:numId w:val="0"/>
        </w:numPr>
        <w:ind w:firstLine="560" w:firstLineChars="200"/>
        <w:jc w:val="both"/>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施工环节的支付，也叫过程支付，预付款支付、安全文明施工费支付、期中支付，做到价税双控、从业主角度通过支付来控制进度，通过支付来激励承包商，即是对承包商的管理手段，不仅仅是支付也是管理手段。要做好全过程精细化控制，用好支付手段既要激励承包方，同时做好业主方的控制投资。从承包商角度如何及时的拿到工程款又要同时确保工程质量、确保工程进度。工程款、工程质量、工程进度对承包商来说是相辅相成的事情。</w:t>
      </w:r>
      <w:bookmarkStart w:id="50" w:name="_Toc5802"/>
    </w:p>
    <w:p>
      <w:pPr>
        <w:widowControl w:val="0"/>
        <w:numPr>
          <w:ilvl w:val="0"/>
          <w:numId w:val="0"/>
        </w:numPr>
        <w:jc w:val="both"/>
        <w:outlineLvl w:val="1"/>
        <w:rPr>
          <w:rFonts w:hint="eastAsia" w:ascii="仿宋" w:hAnsi="仿宋" w:eastAsia="仿宋" w:cs="仿宋"/>
          <w:b/>
          <w:bCs/>
          <w:sz w:val="28"/>
          <w:szCs w:val="28"/>
          <w:lang w:val="en-US" w:eastAsia="zh-CN"/>
        </w:rPr>
      </w:pPr>
      <w:bookmarkStart w:id="51" w:name="_Toc10183"/>
      <w:r>
        <w:rPr>
          <w:rFonts w:hint="eastAsia" w:ascii="仿宋" w:hAnsi="仿宋" w:eastAsia="仿宋" w:cs="仿宋"/>
          <w:b/>
          <w:bCs/>
          <w:sz w:val="28"/>
          <w:szCs w:val="28"/>
          <w:lang w:val="en-US" w:eastAsia="zh-CN"/>
        </w:rPr>
        <w:t>3.4.1 工程预付款支付与抵扣</w:t>
      </w:r>
      <w:bookmarkEnd w:id="50"/>
      <w:bookmarkEnd w:id="51"/>
    </w:p>
    <w:p>
      <w:pPr>
        <w:numPr>
          <w:ilvl w:val="0"/>
          <w:numId w:val="0"/>
        </w:numPr>
        <w:jc w:val="both"/>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（1）工程预付款概念及其法律性质</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工程预付款是建设工程施工合同订立后由发包人按照合同的约定，在正式开工前预先交付给承包人的工程款。它是施工准备和所需采购主要材料、结构件等流动资金的主要来源。</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法律性质为：发包人为帮助承包人顺利启动项目而提供的一笔无息贷款。</w:t>
      </w:r>
    </w:p>
    <w:p>
      <w:pPr>
        <w:numPr>
          <w:ilvl w:val="0"/>
          <w:numId w:val="0"/>
        </w:numPr>
        <w:jc w:val="both"/>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（2）相关规定</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《2013清单计价规范》对预付款的基本规定：发包人应按照合同约定支付工程预付款。支付的工程预付款,按照合同约定在工程进度款中抵扣。</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当合同对工程预付款的支付没有约定时，按以下规范办理：</w:t>
      </w:r>
    </w:p>
    <w:p>
      <w:pPr>
        <w:numPr>
          <w:ilvl w:val="0"/>
          <w:numId w:val="0"/>
        </w:numPr>
        <w:ind w:firstLine="560" w:firstLineChars="200"/>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支付额度：包工包料工程预付比例不低于合同金额（应扣除暂列金额）的10%，不高于合同金额（扣除暂列金额）的30%。</w:t>
      </w:r>
    </w:p>
    <w:p>
      <w:pPr>
        <w:numPr>
          <w:ilvl w:val="0"/>
          <w:numId w:val="0"/>
        </w:numPr>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支付程序：承包人应在签订合同或向发包人提供与预付款等额的预付款保函（如有）后向发包人提交预付款支付申请；</w:t>
      </w:r>
    </w:p>
    <w:p>
      <w:pPr>
        <w:numPr>
          <w:ilvl w:val="0"/>
          <w:numId w:val="0"/>
        </w:numPr>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支付时限：发包人应对在收到支付申请的7天内进行核实后向承包人发出预付款支付证书，并在签发支付证书后的7天内向承包人支付预付款；</w:t>
      </w:r>
    </w:p>
    <w:p>
      <w:pPr>
        <w:numPr>
          <w:ilvl w:val="0"/>
          <w:numId w:val="0"/>
        </w:numPr>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未付责任：发包人没有按合同约定按时支付预付款的，承包人可催告发包人支付；发包人在预付款期满后的7天内仍未支付的，承包人可在付款期满后的第8天起暂停施工。发包人应承担由此增加的费用和（或）延误的工期，并向承包人支付合理利润。</w:t>
      </w:r>
    </w:p>
    <w:p>
      <w:pPr>
        <w:numPr>
          <w:ilvl w:val="0"/>
          <w:numId w:val="0"/>
        </w:numPr>
        <w:jc w:val="both"/>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预付款扣回：预付款应从每一个支付期应支付给承包人的工程进度款中扣回，直到扣回的金额达到合同约定的预付款金额为止。</w:t>
      </w:r>
      <w:bookmarkStart w:id="52" w:name="_Toc16627"/>
    </w:p>
    <w:p>
      <w:pPr>
        <w:numPr>
          <w:ilvl w:val="0"/>
          <w:numId w:val="0"/>
        </w:numPr>
        <w:jc w:val="both"/>
        <w:outlineLvl w:val="1"/>
        <w:rPr>
          <w:rFonts w:hint="eastAsia" w:ascii="仿宋" w:hAnsi="仿宋" w:eastAsia="仿宋" w:cs="仿宋"/>
          <w:b/>
          <w:bCs/>
          <w:sz w:val="28"/>
          <w:szCs w:val="28"/>
          <w:lang w:val="en-US" w:eastAsia="zh-CN"/>
        </w:rPr>
      </w:pPr>
      <w:bookmarkStart w:id="53" w:name="_Toc13603"/>
      <w:r>
        <w:rPr>
          <w:rFonts w:hint="eastAsia" w:ascii="仿宋" w:hAnsi="仿宋" w:eastAsia="仿宋" w:cs="仿宋"/>
          <w:b/>
          <w:bCs/>
          <w:sz w:val="28"/>
          <w:szCs w:val="28"/>
          <w:lang w:val="en-US" w:eastAsia="zh-CN"/>
        </w:rPr>
        <w:t>3.4.2安全文明施工费支付</w:t>
      </w:r>
      <w:bookmarkEnd w:id="52"/>
      <w:bookmarkEnd w:id="53"/>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们国家有五大危险行业，其中建筑工程是五大危险行业其中之一，我们建筑业经常出现重大安全生产事故，很多是安全文明施工费没有到位，导致安全措施不到位，导致现场安全事故。所以为分明安全责任，将安全文明措施费单列在进度款之外支付。</w:t>
      </w:r>
    </w:p>
    <w:p>
      <w:pPr>
        <w:numPr>
          <w:ilvl w:val="0"/>
          <w:numId w:val="0"/>
        </w:numPr>
        <w:ind w:firstLine="562" w:firstLineChars="200"/>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相关规定</w:t>
      </w:r>
      <w:r>
        <w:rPr>
          <w:rFonts w:hint="eastAsia" w:ascii="仿宋" w:hAnsi="仿宋" w:eastAsia="仿宋" w:cs="仿宋"/>
          <w:sz w:val="28"/>
          <w:szCs w:val="28"/>
          <w:lang w:val="en-US" w:eastAsia="zh-CN"/>
        </w:rPr>
        <w:t>【2013清单计价规范】</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1.支付时间：关于安全文明施工费的支付时间，不容商量，发包人应在工程开工后的28天内支付。</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2.支付比例：首期预付不低于当年施工进度计划的安全文明施工费总额的60%，其余部分应按照提前安排的原则进行分解，并应与进度款同期支付。</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3.发包人不支付的责任：发包人在付款期满后的7天内仍未支付的，若发生安全事故，发包人应承担相应责任。</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发包人应在工程开工后的28天内，28天后期限满了，如果还没有支付，现行法律最多再给7天，从第8天起，现场要发生安全事故的甲方承担责任。</w:t>
      </w:r>
    </w:p>
    <w:p>
      <w:pPr>
        <w:numPr>
          <w:ilvl w:val="0"/>
          <w:numId w:val="0"/>
        </w:numPr>
        <w:ind w:firstLine="560" w:firstLineChars="200"/>
        <w:rPr>
          <w:rFonts w:hint="eastAsia" w:ascii="仿宋" w:hAnsi="仿宋" w:eastAsia="仿宋" w:cs="仿宋"/>
          <w:sz w:val="28"/>
          <w:szCs w:val="28"/>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 w:hAnsi="仿宋" w:eastAsia="仿宋" w:cs="仿宋"/>
          <w:sz w:val="28"/>
          <w:szCs w:val="28"/>
          <w:lang w:val="en-US" w:eastAsia="zh-CN"/>
        </w:rPr>
        <w:t>4.承包人的义务：对安全文明施工费应专款专用，接受备查，不得挪作他用，否则承担责任。如用途不当的，甲方视为承包人违约。</w:t>
      </w:r>
    </w:p>
    <w:p>
      <w:pPr>
        <w:numPr>
          <w:ilvl w:val="0"/>
          <w:numId w:val="0"/>
        </w:numPr>
        <w:ind w:firstLine="562" w:firstLineChars="200"/>
        <w:jc w:val="center"/>
        <w:outlineLvl w:val="1"/>
        <w:rPr>
          <w:rFonts w:hint="default" w:ascii="仿宋" w:hAnsi="仿宋" w:eastAsia="仿宋" w:cs="仿宋"/>
          <w:b/>
          <w:bCs/>
          <w:sz w:val="28"/>
          <w:szCs w:val="28"/>
          <w:lang w:val="en-US" w:eastAsia="zh-CN"/>
        </w:rPr>
      </w:pPr>
      <w:bookmarkStart w:id="54" w:name="_Toc17639"/>
      <w:bookmarkStart w:id="55" w:name="_Toc28749"/>
      <w:r>
        <w:rPr>
          <w:rFonts w:hint="eastAsia" w:ascii="仿宋" w:hAnsi="仿宋" w:eastAsia="仿宋" w:cs="仿宋"/>
          <w:b/>
          <w:bCs/>
          <w:sz w:val="28"/>
          <w:szCs w:val="28"/>
          <w:lang w:val="en-US" w:eastAsia="zh-CN"/>
        </w:rPr>
        <w:t>3.4.3 进度款（期中）支付管理</w:t>
      </w:r>
      <w:bookmarkEnd w:id="54"/>
      <w:bookmarkEnd w:id="55"/>
    </w:p>
    <w:p>
      <w:pPr>
        <w:numPr>
          <w:ilvl w:val="0"/>
          <w:numId w:val="0"/>
        </w:numPr>
        <w:ind w:firstLine="560" w:firstLineChars="200"/>
        <w:jc w:val="both"/>
        <w:rPr>
          <w:rFonts w:hint="eastAsia" w:ascii="仿宋" w:hAnsi="仿宋" w:eastAsia="仿宋" w:cs="仿宋"/>
          <w:sz w:val="28"/>
          <w:szCs w:val="28"/>
          <w:lang w:val="en-US" w:eastAsia="zh-CN"/>
        </w:rPr>
      </w:pP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度款支付我们叫常态性支付，为什么进度款叫常态性支付，因为它每个月都要支付，进度款目前支付有两种情况，按月支付和按形象进度节点支付。通常是按月支付，每月月末承包人向甲方提交书面支付申请，甲方审完了以后给付款，经过调查，发现存在这样的问题，承包人每月向甲方提交的书面进度款申报时，施工单位多报，建设单位大砍，最终引起双方支付纠纷。</w:t>
      </w:r>
    </w:p>
    <w:p>
      <w:pPr>
        <w:numPr>
          <w:ilvl w:val="0"/>
          <w:numId w:val="0"/>
        </w:numPr>
        <w:ind w:firstLine="562" w:firstLineChars="200"/>
        <w:jc w:val="both"/>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每月进度款计算</w:t>
      </w:r>
      <w:r>
        <w:rPr>
          <w:rFonts w:hint="eastAsia" w:ascii="仿宋" w:hAnsi="仿宋" w:eastAsia="仿宋" w:cs="仿宋"/>
          <w:sz w:val="28"/>
          <w:szCs w:val="28"/>
          <w:lang w:val="en-US" w:eastAsia="zh-CN"/>
        </w:rPr>
        <w:t>：采用清单计价，承包商每月要计算的进度款包括本月完成的分部分项费；措施费；本月完成变更、签证索赔、其他项目费；规费；税金。</w:t>
      </w:r>
    </w:p>
    <w:p>
      <w:pPr>
        <w:numPr>
          <w:ilvl w:val="0"/>
          <w:numId w:val="0"/>
        </w:numPr>
        <w:ind w:firstLine="562" w:firstLineChars="200"/>
        <w:jc w:val="both"/>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1.进度款支付的计算</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已标价工程量清单中的单价项目，承包人应按工程量计量确认的工程量与综合单价计算，综合单价发生调整的，以发承包双方确认调整的综合单价计算进度款。（单价项目指的是分部分项清单综合单价及单价措施项目）</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工程量偏差引起的价差调整时，每月进度款暂不考虑，仍然按中标单价计算，结算时一次性调整。</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已标价工程量清单中的总价项目，承包人应按合同中约定进度款支付分解，分别计入进度款支付申请中的安全文明施工费和本周期应支付的总价项目的金额中。</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承包人现场签证和得到发包人确认的索赔金额列入本周期应增加金额中（月月清）。</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发包人提供的甲供材料金额、</w:t>
      </w:r>
      <w:r>
        <w:rPr>
          <w:rFonts w:hint="eastAsia" w:ascii="仿宋" w:hAnsi="仿宋" w:eastAsia="仿宋" w:cs="仿宋"/>
          <w:sz w:val="28"/>
          <w:szCs w:val="28"/>
          <w:highlight w:val="none"/>
          <w:lang w:val="en-US" w:eastAsia="zh-CN"/>
        </w:rPr>
        <w:t>保证金、</w:t>
      </w:r>
      <w:r>
        <w:rPr>
          <w:rFonts w:hint="eastAsia" w:ascii="仿宋" w:hAnsi="仿宋" w:eastAsia="仿宋" w:cs="仿宋"/>
          <w:sz w:val="28"/>
          <w:szCs w:val="28"/>
          <w:lang w:val="en-US" w:eastAsia="zh-CN"/>
        </w:rPr>
        <w:t>预付款，应按照发包人签约提供的单价和数量从进度款支付中扣除，列入本周期应扣减的金额中。（月月清）</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本月规费，按工程所在地当地政府发布的各项规费组成规定计算。</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税金，（单价项目费+总价项目费+其他项目费+规费-预付款）×增值税税率</w:t>
      </w:r>
    </w:p>
    <w:p>
      <w:pPr>
        <w:numPr>
          <w:ilvl w:val="0"/>
          <w:numId w:val="0"/>
        </w:numPr>
        <w:ind w:firstLine="562" w:firstLineChars="200"/>
        <w:jc w:val="both"/>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2.进度款支付程序</w:t>
      </w:r>
    </w:p>
    <w:p>
      <w:pPr>
        <w:numPr>
          <w:ilvl w:val="0"/>
          <w:numId w:val="0"/>
        </w:numPr>
        <w:ind w:firstLine="562" w:firstLineChars="200"/>
        <w:jc w:val="both"/>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有约定按约定，无约定按法定】</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《2013清单计价规范》10.3.1规定：当发、承包双方在合同中未对工程进度款支付申请的核对时间以及工程进度款支付时间及比例的约定时，按以下规定办理：</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（1）承包人在计量周期到期后的7天内向发包人提交进度款申请。</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（2）发包人收到进度款申请后，14天内核对完毕，出具进度款支付证书。</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发包人签发支付证书的14天内支付进度款（按合同约定扣回预付款）。合同有明确支付比例按合同，合同没有约定按法定的60%≤进度款≥90%，如发包人收到进度款申请后未按时（14天）完成审核，视为发包人默认认可进度款申请，承包人向发包人发出催告付款通知。发包人收到催告付款通知后14天内按申请金额支付，如未支付承包人再次催告发包人，此时有权获得利息，发包人在7天支付，如还是没有支付，第8天起承包人停止施工发包人违约。</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注意事项：</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承包人在投标时应注意招标文件中合同的专用条款是否有进度款约定的支付流程</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（1）没有约定的按法定。</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（2）有约定的，进一步研究是否公平、合理，如存在不公平、不合理、霸王条款情形，承包应以法定为依据进行谈判。</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（3）国家强制性规定里面的各个流程、法定流程有两个作用，第一个作用是合同没有约定时，可作为合同继续履行的依据。第二个作用是合同条款不公平时，是双方修改、谈判合同的依据。</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（4）承包人在和甲方谈判时，应争取甲方先付款、承包人再开票的这一条款。</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发包人在起草施工合同时在起草进度款支付条款时，应与领导、财务进行沟通。法定时间是两个14天，看看我们的财务上在法定的时间内是否能走完流程。</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例如：</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1.未按时支付就停工的条款是非强制性条款，可以删除。</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2.两个14天如果不能满足财务审批流程，两个20天也是可以的。</w:t>
      </w:r>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3.付了款承包人要开票，可以把承包人开票的时间、送达地点、开票比例、税额、税票的类别（是专票还是普票），什么时候送达，开票违约承包人怎么赔偿甲方。</w:t>
      </w:r>
    </w:p>
    <w:p>
      <w:pPr>
        <w:jc w:val="center"/>
        <w:outlineLvl w:val="9"/>
        <w:rPr>
          <w:rFonts w:hint="eastAsia" w:ascii="仿宋" w:hAnsi="仿宋" w:eastAsia="仿宋" w:cs="仿宋"/>
          <w:b/>
          <w:bCs/>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outlineLvl w:val="0"/>
        <w:rPr>
          <w:rFonts w:hint="eastAsia" w:ascii="仿宋" w:hAnsi="仿宋" w:eastAsia="仿宋" w:cs="仿宋"/>
          <w:b/>
          <w:bCs/>
          <w:sz w:val="28"/>
          <w:szCs w:val="28"/>
          <w:lang w:val="en-US" w:eastAsia="zh-CN"/>
        </w:rPr>
      </w:pPr>
      <w:bookmarkStart w:id="56" w:name="_Toc30224"/>
      <w:bookmarkStart w:id="57" w:name="_Toc28033"/>
      <w:r>
        <w:rPr>
          <w:rFonts w:hint="eastAsia" w:ascii="仿宋" w:hAnsi="仿宋" w:eastAsia="仿宋" w:cs="仿宋"/>
          <w:b/>
          <w:bCs/>
          <w:sz w:val="28"/>
          <w:szCs w:val="28"/>
          <w:lang w:val="en-US" w:eastAsia="zh-CN"/>
        </w:rPr>
        <w:t>3.5 竣工结算环节</w:t>
      </w:r>
      <w:bookmarkEnd w:id="56"/>
      <w:bookmarkEnd w:id="57"/>
    </w:p>
    <w:p>
      <w:pPr>
        <w:widowControl w:val="0"/>
        <w:numPr>
          <w:ilvl w:val="0"/>
          <w:numId w:val="0"/>
        </w:numPr>
        <w:jc w:val="both"/>
        <w:outlineLvl w:val="1"/>
        <w:rPr>
          <w:rFonts w:hint="eastAsia" w:ascii="仿宋" w:hAnsi="仿宋" w:eastAsia="仿宋" w:cs="仿宋"/>
          <w:b/>
          <w:bCs/>
          <w:sz w:val="28"/>
          <w:szCs w:val="28"/>
          <w:lang w:val="en-US" w:eastAsia="zh-CN"/>
        </w:rPr>
      </w:pPr>
      <w:bookmarkStart w:id="58" w:name="_Toc3586"/>
      <w:bookmarkStart w:id="59" w:name="_Toc11700"/>
      <w:r>
        <w:rPr>
          <w:rFonts w:hint="eastAsia" w:ascii="仿宋" w:hAnsi="仿宋" w:eastAsia="仿宋" w:cs="仿宋"/>
          <w:b/>
          <w:bCs/>
          <w:sz w:val="28"/>
          <w:szCs w:val="28"/>
          <w:lang w:val="en-US" w:eastAsia="zh-CN"/>
        </w:rPr>
        <w:t>3.5.1 工程竣工结算编制</w:t>
      </w:r>
      <w:bookmarkEnd w:id="58"/>
      <w:bookmarkEnd w:id="59"/>
    </w:p>
    <w:p>
      <w:pPr>
        <w:widowControl w:val="0"/>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发承包双方把招投标阶段管好、施工环节管好，结算环节就是水到渠成的事情。</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（一）竣工结算编制的两种方法【传统编制，快速编制】</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1.传统编制方法：</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报价招标人编制招标控制价通常是以单位工程为对象，而一个单位工程造价包括了5个费用（分部分项工程费、措施项目费、其他项目费、规费、税金），那么同样，在办理工程结算时也是一样以一个单位工程为对象，一个单位里包含了这5项费用，分部分项工程费结算、措施项目费结算、其他项目费结算、规费结算、税金结算。我用以下这个图来给大家讲一个项目的结算计算规则。</w:t>
      </w:r>
    </w:p>
    <w:p>
      <w:pPr>
        <w:widowControl w:val="0"/>
        <w:numPr>
          <w:ilvl w:val="0"/>
          <w:numId w:val="0"/>
        </w:num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2.快速编制方法：</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《2013清单计价规范》规定竣工结算的计算规则</w:t>
      </w:r>
    </w:p>
    <w:p>
      <w:pPr>
        <w:widowControl w:val="0"/>
        <w:numPr>
          <w:ilvl w:val="0"/>
          <w:numId w:val="0"/>
        </w:numPr>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单价项目费：</w:t>
      </w:r>
      <w:r>
        <w:rPr>
          <w:rFonts w:hint="eastAsia" w:ascii="仿宋" w:hAnsi="仿宋" w:eastAsia="仿宋" w:cs="仿宋"/>
          <w:sz w:val="28"/>
          <w:szCs w:val="28"/>
          <w:lang w:val="en-US" w:eastAsia="zh-CN"/>
        </w:rPr>
        <w:t>依据双方确认的工程量，合同约定的综合单价或双方确认调整后的综合单价计算。</w:t>
      </w:r>
    </w:p>
    <w:p>
      <w:pPr>
        <w:widowControl w:val="0"/>
        <w:numPr>
          <w:ilvl w:val="0"/>
          <w:numId w:val="0"/>
        </w:numPr>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总价措施项目费：</w:t>
      </w:r>
      <w:r>
        <w:rPr>
          <w:rFonts w:hint="eastAsia" w:ascii="仿宋" w:hAnsi="仿宋" w:eastAsia="仿宋" w:cs="仿宋"/>
          <w:sz w:val="28"/>
          <w:szCs w:val="28"/>
          <w:lang w:val="en-US" w:eastAsia="zh-CN"/>
        </w:rPr>
        <w:t>依据合同约定的项目和金额，双方确认调整的金额计算。其中安全文明施工费应按照国家或省级、行业建设主管部门的规定计价，不得作为竞争性费用。</w:t>
      </w:r>
    </w:p>
    <w:p>
      <w:pPr>
        <w:widowControl w:val="0"/>
        <w:numPr>
          <w:ilvl w:val="0"/>
          <w:numId w:val="0"/>
        </w:num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其他项目费：</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计日工：应按发包人实际签证确认的事项计算；</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暂估价中的材料单价：应按发、承包双方最终确认价在综合单价中调整；</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专业工程暂估价：应按中标价或发包人、承包人与分包人最终确认价计算。</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总承包服务费：应依据合同约定金额，发、承包双方确认调整的金额计算；</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索赔费用：应依据发、承包双方确认的索赔事项和金额计算；</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现场签证费用：应依据发、承包双方签证资料确认的金额计算； </w:t>
      </w:r>
    </w:p>
    <w:p>
      <w:pPr>
        <w:widowControl w:val="0"/>
        <w:numPr>
          <w:ilvl w:val="0"/>
          <w:numId w:val="3"/>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暂列金额：应减去工程价款调整与索赔、现场签证金额计算，如有余额归发包人。</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这就是过程结算，也就是全过程造价管理，加上36个关键点，就是我们的全过程造价精细化管理。</w:t>
      </w:r>
      <w:bookmarkStart w:id="60" w:name="_Toc23657"/>
    </w:p>
    <w:p>
      <w:pPr>
        <w:widowControl w:val="0"/>
        <w:numPr>
          <w:ilvl w:val="0"/>
          <w:numId w:val="0"/>
        </w:numPr>
        <w:ind w:firstLine="562" w:firstLineChars="200"/>
        <w:jc w:val="left"/>
        <w:outlineLvl w:val="1"/>
        <w:rPr>
          <w:rFonts w:hint="eastAsia" w:ascii="仿宋" w:hAnsi="仿宋" w:eastAsia="仿宋" w:cs="仿宋"/>
          <w:b/>
          <w:bCs/>
          <w:sz w:val="28"/>
          <w:szCs w:val="28"/>
          <w:lang w:val="en-US" w:eastAsia="zh-CN"/>
        </w:rPr>
      </w:pPr>
      <w:bookmarkStart w:id="61" w:name="_Toc14853"/>
      <w:r>
        <w:rPr>
          <w:rFonts w:hint="eastAsia" w:ascii="仿宋" w:hAnsi="仿宋" w:eastAsia="仿宋" w:cs="仿宋"/>
          <w:b/>
          <w:bCs/>
          <w:sz w:val="28"/>
          <w:szCs w:val="28"/>
          <w:lang w:val="en-US" w:eastAsia="zh-CN"/>
        </w:rPr>
        <w:t>3.5.2 结算款与结清款支付</w:t>
      </w:r>
      <w:bookmarkEnd w:id="60"/>
      <w:bookmarkEnd w:id="61"/>
    </w:p>
    <w:p>
      <w:pPr>
        <w:widowControl w:val="0"/>
        <w:numPr>
          <w:ilvl w:val="0"/>
          <w:numId w:val="0"/>
        </w:num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（1）结算款支付</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结算支付是有约定按约定程序，没有约定按法定程序。</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程序：竣工结算办理完毕，承包人向发包人提交结算款支付申请，发包人接到承包人支付申请之日起的7日内核对完毕，出具结算款支付证书，发包人签发支付证书的14天内支付结算款，发包人收到支付申请在7天没有核对完毕，也没有出具支付证书的，从第8天起，结算款申请视为发包人认可，此时没有支付证书，那么在发包人接到申请后的7天后的21天内按支付申请金额支付，如果能支付那还算顺利，如果还没有支付的，承包人接着催告，并获得利息，35天内仍然没有支付的，承包人向法院申请拍卖优先受理。</w:t>
      </w:r>
    </w:p>
    <w:p>
      <w:pPr>
        <w:widowControl w:val="0"/>
        <w:numPr>
          <w:ilvl w:val="0"/>
          <w:numId w:val="0"/>
        </w:numPr>
        <w:ind w:firstLine="562" w:firstLineChars="200"/>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（2）最终结清支付：</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修期满了或者缺陷责任期满了以后，承包人要把他的保修金收回，双方已经结清了。缺陷责任期终止后承包人向发包人提交最终结清支付申请，甲方接到申请后14天内核定完毕，签发最终结清支付证书，第二个14天内向承包人支付最终结清款。</w:t>
      </w:r>
    </w:p>
    <w:p>
      <w:pPr>
        <w:widowControl w:val="0"/>
        <w:numPr>
          <w:ilvl w:val="0"/>
          <w:numId w:val="0"/>
        </w:numPr>
        <w:jc w:val="both"/>
        <w:outlineLvl w:val="1"/>
        <w:rPr>
          <w:rFonts w:hint="eastAsia" w:ascii="仿宋" w:hAnsi="仿宋" w:eastAsia="仿宋" w:cs="仿宋"/>
          <w:b/>
          <w:bCs/>
          <w:sz w:val="28"/>
          <w:szCs w:val="28"/>
          <w:lang w:val="en-US" w:eastAsia="zh-CN"/>
        </w:rPr>
      </w:pPr>
      <w:bookmarkStart w:id="62" w:name="_Toc14510"/>
      <w:bookmarkStart w:id="63" w:name="_Toc32133"/>
      <w:r>
        <w:rPr>
          <w:rFonts w:hint="eastAsia" w:ascii="仿宋" w:hAnsi="仿宋" w:eastAsia="仿宋" w:cs="仿宋"/>
          <w:b/>
          <w:bCs/>
          <w:sz w:val="28"/>
          <w:szCs w:val="28"/>
          <w:lang w:val="en-US" w:eastAsia="zh-CN"/>
        </w:rPr>
        <w:t>3.5.3 竣工结算环节互不签认对策</w:t>
      </w:r>
      <w:bookmarkEnd w:id="62"/>
      <w:bookmarkEnd w:id="63"/>
    </w:p>
    <w:p>
      <w:pPr>
        <w:widowControl w:val="0"/>
        <w:numPr>
          <w:ilvl w:val="0"/>
          <w:numId w:val="0"/>
        </w:numPr>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（1）竣工结算互不签认的处理</w:t>
      </w:r>
    </w:p>
    <w:p>
      <w:pPr>
        <w:widowControl w:val="0"/>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对发包人或发包人委托的工程造价咨询人指派的专业人员与承包人指派的专业人员经核对后无异议，其中一方拒不签认的按以下规定办理：</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（1）若发包人拒不签认的，承包人可不提供竣工验收备案资料，并有权拒绝与发包人或其上级部门委托的工程造价咨询人重新核对竣工结算文件。</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（2）若承包人拒不签认的，发包人要求办理竣工验收备案的，承包人不得拒绝提供竣工验收资料，否则，由此造成的损失，承包人承担连带责任。</w:t>
      </w:r>
    </w:p>
    <w:p>
      <w:pPr>
        <w:widowControl w:val="0"/>
        <w:numPr>
          <w:ilvl w:val="0"/>
          <w:numId w:val="0"/>
        </w:numPr>
        <w:jc w:val="left"/>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（2）质量纠纷导致竣工结算纠纷的处理</w:t>
      </w:r>
    </w:p>
    <w:p>
      <w:pPr>
        <w:widowControl w:val="0"/>
        <w:numPr>
          <w:ilvl w:val="0"/>
          <w:numId w:val="0"/>
        </w:numPr>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【发包人以对工程质量有异议，拒绝办理工程竣工结算】</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（1）已竣工验收或竣工未验收单实际投入使用的工程，其质量争议按该工程保修合同执行，竣工结算按合同约定办理。</w:t>
      </w:r>
    </w:p>
    <w:p>
      <w:pPr>
        <w:widowControl w:val="0"/>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竣工未验收且未实际投入施工的工程以及停工，停建工程的质量争议，双发应就争议的部分委托有资质的检测鉴定机构进行检测，根据检测结果确定解决方案，或按工程质量监督机构的处理决定执行后办理竣工结算，无争议部分的竣工结算按合同约定办理。</w:t>
      </w:r>
      <w:bookmarkStart w:id="64" w:name="_Toc28387"/>
    </w:p>
    <w:p>
      <w:pPr>
        <w:widowControl w:val="0"/>
        <w:numPr>
          <w:ilvl w:val="0"/>
          <w:numId w:val="0"/>
        </w:numPr>
        <w:jc w:val="both"/>
        <w:outlineLvl w:val="1"/>
        <w:rPr>
          <w:rFonts w:hint="default" w:ascii="仿宋" w:hAnsi="仿宋" w:eastAsia="仿宋" w:cs="仿宋"/>
          <w:b/>
          <w:bCs/>
          <w:sz w:val="28"/>
          <w:szCs w:val="28"/>
          <w:lang w:val="en-US" w:eastAsia="zh-CN"/>
        </w:rPr>
      </w:pPr>
      <w:bookmarkStart w:id="65" w:name="_Toc19485"/>
      <w:r>
        <w:rPr>
          <w:rFonts w:hint="eastAsia" w:ascii="仿宋" w:hAnsi="仿宋" w:eastAsia="仿宋" w:cs="仿宋"/>
          <w:b/>
          <w:bCs/>
          <w:sz w:val="28"/>
          <w:szCs w:val="28"/>
          <w:lang w:val="en-US" w:eastAsia="zh-CN"/>
        </w:rPr>
        <w:t>3.5.4 送审结算高估冒算的应对措施</w:t>
      </w:r>
      <w:bookmarkEnd w:id="64"/>
      <w:bookmarkEnd w:id="65"/>
    </w:p>
    <w:p>
      <w:pPr>
        <w:ind w:firstLine="560" w:firstLineChars="200"/>
        <w:jc w:val="lef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防止施工方结算申报时高估冒算，造成结算审核核增减奖励金额过高、送审结算书不规范的问题，建议合同条款增设结算核减率达到一定程度时，超出部分按核减额一定比例扣罚，以抵消结算审核过高的核减奖励费用。</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bCs/>
          <w:sz w:val="28"/>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bCs/>
          <w:sz w:val="28"/>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bCs/>
          <w:sz w:val="28"/>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0"/>
        <w:rPr>
          <w:rFonts w:hint="eastAsia" w:ascii="仿宋" w:hAnsi="仿宋" w:eastAsia="仿宋" w:cs="仿宋"/>
          <w:b/>
          <w:bCs/>
          <w:sz w:val="28"/>
          <w:lang w:val="en-US" w:eastAsia="zh-CN"/>
        </w:rPr>
      </w:pPr>
      <w:bookmarkStart w:id="66" w:name="_Toc23990"/>
      <w:r>
        <w:rPr>
          <w:rFonts w:hint="eastAsia" w:ascii="仿宋" w:hAnsi="仿宋" w:eastAsia="仿宋" w:cs="仿宋"/>
          <w:b/>
          <w:bCs/>
          <w:sz w:val="28"/>
          <w:lang w:val="en-US" w:eastAsia="zh-CN"/>
        </w:rPr>
        <w:t>参考文献：</w:t>
      </w:r>
      <w:bookmarkEnd w:id="66"/>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仿宋" w:hAnsi="仿宋" w:eastAsia="仿宋" w:cs="仿宋"/>
          <w:b w:val="0"/>
          <w:bCs w:val="0"/>
          <w:sz w:val="28"/>
          <w:lang w:val="en-US" w:eastAsia="zh-CN"/>
        </w:rPr>
      </w:pPr>
      <w:r>
        <w:rPr>
          <w:rFonts w:hint="eastAsia" w:ascii="仿宋" w:hAnsi="仿宋" w:eastAsia="仿宋" w:cs="仿宋"/>
          <w:b/>
          <w:bCs/>
          <w:sz w:val="28"/>
          <w:lang w:val="en-US" w:eastAsia="zh-CN"/>
        </w:rPr>
        <w:t>1.</w:t>
      </w:r>
      <w:r>
        <w:rPr>
          <w:rFonts w:hint="default" w:ascii="仿宋" w:hAnsi="仿宋" w:eastAsia="仿宋" w:cs="仿宋"/>
          <w:b w:val="0"/>
          <w:bCs w:val="0"/>
          <w:sz w:val="28"/>
          <w:lang w:val="en-US" w:eastAsia="zh-CN"/>
        </w:rPr>
        <w:t>《中共中央国务院关于深化投融资体制的改革的意见》（中发〔2016〕18号）</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仿宋" w:hAnsi="仿宋" w:eastAsia="仿宋" w:cs="仿宋"/>
          <w:b w:val="0"/>
          <w:bCs w:val="0"/>
          <w:sz w:val="28"/>
          <w:lang w:val="en-US" w:eastAsia="zh-CN"/>
        </w:rPr>
      </w:pPr>
      <w:r>
        <w:rPr>
          <w:rFonts w:hint="eastAsia" w:ascii="仿宋" w:hAnsi="仿宋" w:eastAsia="仿宋" w:cs="仿宋"/>
          <w:b/>
          <w:bCs/>
          <w:sz w:val="28"/>
          <w:lang w:val="en-US" w:eastAsia="zh-CN"/>
        </w:rPr>
        <w:t>2.</w:t>
      </w:r>
      <w:r>
        <w:rPr>
          <w:rFonts w:hint="default" w:ascii="仿宋" w:hAnsi="仿宋" w:eastAsia="仿宋" w:cs="仿宋"/>
          <w:b w:val="0"/>
          <w:bCs w:val="0"/>
          <w:sz w:val="28"/>
          <w:lang w:val="en-US" w:eastAsia="zh-CN"/>
        </w:rPr>
        <w:t>《国务院办公厅关于促进建筑业健康持续发展的意见》（国办发〔2017〕19号）</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仿宋" w:hAnsi="仿宋" w:eastAsia="仿宋" w:cs="仿宋"/>
          <w:b w:val="0"/>
          <w:bCs w:val="0"/>
          <w:sz w:val="28"/>
          <w:lang w:val="en-US" w:eastAsia="zh-CN"/>
        </w:rPr>
      </w:pPr>
      <w:r>
        <w:rPr>
          <w:rFonts w:hint="eastAsia" w:ascii="仿宋" w:hAnsi="仿宋" w:eastAsia="仿宋" w:cs="仿宋"/>
          <w:b/>
          <w:bCs/>
          <w:sz w:val="28"/>
          <w:lang w:val="en-US" w:eastAsia="zh-CN"/>
        </w:rPr>
        <w:t>3.</w:t>
      </w:r>
      <w:r>
        <w:rPr>
          <w:rFonts w:hint="default" w:ascii="仿宋" w:hAnsi="仿宋" w:eastAsia="仿宋" w:cs="仿宋"/>
          <w:b w:val="0"/>
          <w:bCs w:val="0"/>
          <w:sz w:val="28"/>
          <w:lang w:val="en-US" w:eastAsia="zh-CN"/>
        </w:rPr>
        <w:t>《关于开展全过程工程咨询试点工作的通知》（建市〔2017〕101号）</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val="0"/>
          <w:bCs w:val="0"/>
          <w:sz w:val="28"/>
          <w:lang w:val="en-US" w:eastAsia="zh-CN"/>
        </w:rPr>
      </w:pPr>
      <w:r>
        <w:rPr>
          <w:rFonts w:hint="eastAsia" w:ascii="仿宋" w:hAnsi="仿宋" w:eastAsia="仿宋" w:cs="仿宋"/>
          <w:b/>
          <w:bCs/>
          <w:sz w:val="28"/>
          <w:lang w:val="en-US" w:eastAsia="zh-CN"/>
        </w:rPr>
        <w:t>4.</w:t>
      </w:r>
      <w:r>
        <w:rPr>
          <w:rFonts w:hint="eastAsia" w:ascii="仿宋" w:hAnsi="仿宋" w:eastAsia="仿宋" w:cs="仿宋"/>
          <w:b w:val="0"/>
          <w:bCs w:val="0"/>
          <w:sz w:val="28"/>
          <w:lang w:val="en-US" w:eastAsia="zh-CN"/>
        </w:rPr>
        <w:t>《工程咨询行业管理办法》（国家发改委2017年第9号令）</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val="0"/>
          <w:bCs w:val="0"/>
          <w:sz w:val="28"/>
          <w:lang w:val="en-US" w:eastAsia="zh-CN"/>
        </w:rPr>
      </w:pPr>
      <w:r>
        <w:rPr>
          <w:rFonts w:hint="eastAsia" w:ascii="仿宋" w:hAnsi="仿宋" w:eastAsia="仿宋" w:cs="仿宋"/>
          <w:b/>
          <w:bCs/>
          <w:sz w:val="28"/>
          <w:lang w:val="en-US" w:eastAsia="zh-CN"/>
        </w:rPr>
        <w:t>5.</w:t>
      </w:r>
      <w:r>
        <w:rPr>
          <w:rFonts w:hint="eastAsia" w:ascii="仿宋" w:hAnsi="仿宋" w:eastAsia="仿宋" w:cs="仿宋"/>
          <w:b w:val="0"/>
          <w:bCs w:val="0"/>
          <w:sz w:val="28"/>
          <w:lang w:val="en-US" w:eastAsia="zh-CN"/>
        </w:rPr>
        <w:t>《关于推进全过程工程咨询服务发展的指导意见（征求意见稿）》</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val="0"/>
          <w:bCs w:val="0"/>
          <w:sz w:val="28"/>
          <w:lang w:val="en-US" w:eastAsia="zh-CN"/>
        </w:rPr>
      </w:pPr>
      <w:r>
        <w:rPr>
          <w:rFonts w:hint="eastAsia" w:ascii="仿宋" w:hAnsi="仿宋" w:eastAsia="仿宋" w:cs="仿宋"/>
          <w:b/>
          <w:bCs/>
          <w:sz w:val="28"/>
          <w:lang w:val="en-US" w:eastAsia="zh-CN"/>
        </w:rPr>
        <w:t>6.</w:t>
      </w:r>
      <w:r>
        <w:rPr>
          <w:rFonts w:hint="eastAsia" w:ascii="仿宋" w:hAnsi="仿宋" w:eastAsia="仿宋" w:cs="仿宋"/>
          <w:b w:val="0"/>
          <w:bCs w:val="0"/>
          <w:sz w:val="28"/>
          <w:lang w:val="en-US" w:eastAsia="zh-CN"/>
        </w:rPr>
        <w:t>《关于推进全过程工程咨询服务发展的指导意见》（发改投资规〔2019〕515号）</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val="0"/>
          <w:bCs w:val="0"/>
          <w:sz w:val="28"/>
          <w:lang w:val="en-US" w:eastAsia="zh-CN"/>
        </w:rPr>
      </w:pPr>
      <w:r>
        <w:rPr>
          <w:rFonts w:hint="eastAsia" w:ascii="仿宋" w:hAnsi="仿宋" w:eastAsia="仿宋" w:cs="仿宋"/>
          <w:b/>
          <w:bCs/>
          <w:sz w:val="28"/>
          <w:lang w:val="en-US" w:eastAsia="zh-CN"/>
        </w:rPr>
        <w:t>7.</w:t>
      </w:r>
      <w:r>
        <w:rPr>
          <w:rFonts w:hint="eastAsia" w:ascii="仿宋" w:hAnsi="仿宋" w:eastAsia="仿宋" w:cs="仿宋"/>
          <w:b w:val="0"/>
          <w:bCs w:val="0"/>
          <w:sz w:val="28"/>
          <w:lang w:val="en-US" w:eastAsia="zh-CN"/>
        </w:rPr>
        <w:t>《房屋建筑和市政基础设施建设项目全过程工程咨询服务技术标准（征求意见稿）》</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eastAsia" w:ascii="仿宋" w:hAnsi="仿宋" w:eastAsia="仿宋" w:cs="仿宋"/>
          <w:b w:val="0"/>
          <w:bCs w:val="0"/>
          <w:sz w:val="28"/>
          <w:lang w:val="en-US" w:eastAsia="zh-CN"/>
        </w:rPr>
      </w:pPr>
      <w:r>
        <w:rPr>
          <w:rFonts w:hint="eastAsia" w:ascii="仿宋" w:hAnsi="仿宋" w:eastAsia="仿宋" w:cs="仿宋"/>
          <w:b/>
          <w:bCs/>
          <w:sz w:val="28"/>
          <w:lang w:val="en-US" w:eastAsia="zh-CN"/>
        </w:rPr>
        <w:t>8.</w:t>
      </w:r>
      <w:r>
        <w:rPr>
          <w:rFonts w:hint="eastAsia" w:ascii="仿宋" w:hAnsi="仿宋" w:eastAsia="仿宋" w:cs="仿宋"/>
          <w:b w:val="0"/>
          <w:bCs w:val="0"/>
          <w:sz w:val="28"/>
          <w:lang w:val="en-US" w:eastAsia="zh-CN"/>
        </w:rPr>
        <w:t>《海南省人民政府办公厅关于促进建筑业持续健康发展的实施意见》（琼府办〔2018〕32号）</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楷体" w:hAnsi="楷体" w:eastAsia="楷体" w:cs="楷体"/>
          <w:sz w:val="28"/>
          <w:szCs w:val="28"/>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楷体" w:hAnsi="楷体" w:eastAsia="楷体" w:cs="楷体"/>
          <w:sz w:val="28"/>
          <w:szCs w:val="28"/>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outlineLvl w:val="9"/>
        <w:rPr>
          <w:rFonts w:hint="default" w:ascii="楷体" w:hAnsi="楷体" w:eastAsia="楷体" w:cs="楷体"/>
          <w:sz w:val="28"/>
          <w:szCs w:val="28"/>
          <w:lang w:val="en-US" w:eastAsia="zh-CN"/>
        </w:rPr>
      </w:pPr>
    </w:p>
    <w:p>
      <w:pPr>
        <w:pStyle w:val="8"/>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ind w:right="0" w:rightChars="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作者：石少龙      </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二〇二一年七月二十九日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t xml:space="preserve">第 </w:t>
                          </w:r>
                          <w:r>
                            <w:fldChar w:fldCharType="begin"/>
                          </w:r>
                          <w:r>
                            <w:instrText xml:space="preserve"> PAGE  \* MERGEFORMAT </w:instrText>
                          </w:r>
                          <w:r>
                            <w:fldChar w:fldCharType="separate"/>
                          </w:r>
                          <w:r>
                            <w:t>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FF3CC"/>
    <w:multiLevelType w:val="singleLevel"/>
    <w:tmpl w:val="935FF3CC"/>
    <w:lvl w:ilvl="0" w:tentative="0">
      <w:start w:val="1"/>
      <w:numFmt w:val="decimal"/>
      <w:suff w:val="nothing"/>
      <w:lvlText w:val="（%1）"/>
      <w:lvlJc w:val="left"/>
    </w:lvl>
  </w:abstractNum>
  <w:abstractNum w:abstractNumId="1">
    <w:nsid w:val="05CCBBBA"/>
    <w:multiLevelType w:val="singleLevel"/>
    <w:tmpl w:val="05CCBBBA"/>
    <w:lvl w:ilvl="0" w:tentative="0">
      <w:start w:val="2"/>
      <w:numFmt w:val="decimal"/>
      <w:suff w:val="nothing"/>
      <w:lvlText w:val="（%1）"/>
      <w:lvlJc w:val="left"/>
    </w:lvl>
  </w:abstractNum>
  <w:abstractNum w:abstractNumId="2">
    <w:nsid w:val="2E0A3796"/>
    <w:multiLevelType w:val="singleLevel"/>
    <w:tmpl w:val="2E0A3796"/>
    <w:lvl w:ilvl="0" w:tentative="0">
      <w:start w:val="1"/>
      <w:numFmt w:val="decimal"/>
      <w:suff w:val="nothing"/>
      <w:lvlText w:val="（%1）"/>
      <w:lvlJc w:val="left"/>
      <w:pPr>
        <w:ind w:left="7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E7DA4"/>
    <w:rsid w:val="08A87DA1"/>
    <w:rsid w:val="08E23D34"/>
    <w:rsid w:val="163A020E"/>
    <w:rsid w:val="16B447CE"/>
    <w:rsid w:val="235E7DA4"/>
    <w:rsid w:val="2A662A71"/>
    <w:rsid w:val="2C376743"/>
    <w:rsid w:val="3AB26661"/>
    <w:rsid w:val="424E0CE3"/>
    <w:rsid w:val="44055114"/>
    <w:rsid w:val="4BC000DA"/>
    <w:rsid w:val="52F31487"/>
    <w:rsid w:val="6AFC6270"/>
    <w:rsid w:val="6F983846"/>
    <w:rsid w:val="7FCE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oc 3"/>
    <w:basedOn w:val="1"/>
    <w:next w:val="1"/>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tabs>
        <w:tab w:val="center" w:pos="4153"/>
        <w:tab w:val="right" w:pos="8306"/>
      </w:tabs>
      <w:snapToGrid w:val="0"/>
      <w:spacing w:beforeLines="0" w:afterLines="0"/>
      <w:jc w:val="both"/>
    </w:pPr>
    <w:rPr>
      <w:rFonts w:hint="eastAsia"/>
      <w:sz w:val="18"/>
    </w:rPr>
  </w:style>
  <w:style w:type="paragraph" w:styleId="6">
    <w:name w:val="toc 1"/>
    <w:basedOn w:val="1"/>
    <w:next w:val="1"/>
    <w:uiPriority w:val="0"/>
  </w:style>
  <w:style w:type="paragraph" w:styleId="7">
    <w:name w:val="toc 2"/>
    <w:basedOn w:val="1"/>
    <w:next w:val="1"/>
    <w:qFormat/>
    <w:uiPriority w:val="0"/>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font31"/>
    <w:basedOn w:val="10"/>
    <w:qFormat/>
    <w:uiPriority w:val="0"/>
    <w:rPr>
      <w:rFonts w:ascii="宋体" w:hAnsi="宋体" w:eastAsia="宋体" w:cs="宋体"/>
      <w:color w:val="000000"/>
      <w:sz w:val="22"/>
      <w:szCs w:val="22"/>
      <w:u w:val="none"/>
    </w:rPr>
  </w:style>
  <w:style w:type="character" w:customStyle="1" w:styleId="12">
    <w:name w:val="font01"/>
    <w:basedOn w:val="10"/>
    <w:qFormat/>
    <w:uiPriority w:val="0"/>
    <w:rPr>
      <w:rFonts w:hint="eastAsia" w:ascii="宋体" w:hAnsi="宋体" w:eastAsia="宋体" w:cs="宋体"/>
      <w:color w:val="000000"/>
      <w:sz w:val="22"/>
      <w:szCs w:val="22"/>
      <w:u w:val="none"/>
    </w:rPr>
  </w:style>
  <w:style w:type="character" w:customStyle="1" w:styleId="13">
    <w:name w:val="font11"/>
    <w:basedOn w:val="10"/>
    <w:qFormat/>
    <w:uiPriority w:val="0"/>
    <w:rPr>
      <w:rFonts w:hint="eastAsia" w:ascii="宋体" w:hAnsi="宋体" w:eastAsia="宋体" w:cs="宋体"/>
      <w:b/>
      <w:color w:val="000000"/>
      <w:sz w:val="22"/>
      <w:szCs w:val="22"/>
      <w:u w:val="none"/>
    </w:rPr>
  </w:style>
  <w:style w:type="paragraph" w:customStyle="1" w:styleId="14">
    <w:name w:val="WPSOffice手动目录 1"/>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2021-07-27T12:20:00Z</dcterms:created>
  <dc:creator>道道</dc:creator>
  <cp:lastModifiedBy>Administrator</cp:lastModifiedBy>
  <cp:lastPrinted>2021-07-30T08:24:00Z</cp:lastPrinted>
  <dcterms:modified xsi:type="dcterms:W3CDTF">2021-08-23T01:05:11Z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02368131957240F8B3EE166EAE039459</vt:lpwstr>
  </property>
</Properties>
</file>