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baseline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附</w:t>
      </w:r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</w:rPr>
        <w:t>件</w:t>
      </w:r>
    </w:p>
    <w:p>
      <w:pPr>
        <w:spacing w:line="360" w:lineRule="auto"/>
        <w:ind w:firstLine="643"/>
        <w:jc w:val="center"/>
        <w:textAlignment w:val="baseline"/>
        <w:rPr>
          <w:rFonts w:ascii="黑体" w:hAnsi="黑体" w:eastAsia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海南省建筑信息模型（BIM）技术</w:t>
      </w:r>
    </w:p>
    <w:p>
      <w:pPr>
        <w:spacing w:line="360" w:lineRule="auto"/>
        <w:ind w:firstLine="643"/>
        <w:jc w:val="center"/>
        <w:textAlignment w:val="baseline"/>
        <w:rPr>
          <w:rFonts w:ascii="黑体" w:hAnsi="黑体" w:eastAsia="黑体"/>
          <w:b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应用费用参考价格</w:t>
      </w:r>
    </w:p>
    <w:p>
      <w:pPr>
        <w:spacing w:before="156" w:after="156" w:line="400" w:lineRule="exact"/>
        <w:textAlignment w:val="baseline"/>
        <w:rPr>
          <w:rFonts w:ascii="仿宋" w:hAnsi="仿宋" w:eastAsia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 xml:space="preserve">    </w:t>
      </w:r>
    </w:p>
    <w:p>
      <w:pPr>
        <w:spacing w:before="156" w:after="156" w:line="400" w:lineRule="exact"/>
        <w:textAlignment w:val="baseline"/>
        <w:rPr>
          <w:rFonts w:ascii="仿宋" w:hAnsi="仿宋" w:eastAsia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一、参考价格适用范围</w:t>
      </w:r>
    </w:p>
    <w:p>
      <w:pPr>
        <w:spacing w:line="360" w:lineRule="auto"/>
        <w:ind w:firstLine="641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适用于新建建设工程项目，包括建筑工程（含</w:t>
      </w:r>
      <w:r>
        <w:rPr>
          <w:rFonts w:hint="eastAsia" w:ascii="仿宋" w:hAnsi="仿宋" w:eastAsia="仿宋" w:cs="仿宋"/>
          <w:sz w:val="32"/>
          <w:szCs w:val="32"/>
        </w:rPr>
        <w:t>装配式建筑</w:t>
      </w:r>
      <w:r>
        <w:rPr>
          <w:rFonts w:hint="eastAsia" w:ascii="仿宋" w:hAnsi="仿宋" w:eastAsia="仿宋"/>
          <w:sz w:val="32"/>
          <w:szCs w:val="32"/>
        </w:rPr>
        <w:t>）、综合管廊工程。</w:t>
      </w:r>
    </w:p>
    <w:p>
      <w:pPr>
        <w:spacing w:line="360" w:lineRule="auto"/>
        <w:ind w:firstLine="641"/>
        <w:textAlignment w:val="baseline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其他类型工程和改扩建项目可参照执行。</w:t>
      </w:r>
    </w:p>
    <w:p>
      <w:pPr>
        <w:spacing w:before="156" w:after="156" w:line="400" w:lineRule="exact"/>
        <w:textAlignment w:val="baseline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二、BIM技术应用要求</w:t>
      </w:r>
    </w:p>
    <w:p>
      <w:pPr>
        <w:spacing w:line="360" w:lineRule="auto"/>
        <w:ind w:firstLine="641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（一）BIM技术建模精度、应用范围、提交成果应符合国家规程或标准。</w:t>
      </w:r>
    </w:p>
    <w:p>
      <w:pPr>
        <w:spacing w:line="360" w:lineRule="auto"/>
        <w:ind w:firstLine="641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（二）根据工程项目复杂程度、应用深度不同，在项目立项时应明确计取BIM技术应用要求和配套费用，并计入工程建设成本，在工程建设其他费用中单独计列，专款专用。</w:t>
      </w:r>
    </w:p>
    <w:p>
      <w:pPr>
        <w:spacing w:before="156" w:after="156" w:line="400" w:lineRule="exact"/>
        <w:textAlignment w:val="baseline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三、参考价格说明</w:t>
      </w:r>
    </w:p>
    <w:p>
      <w:pPr>
        <w:spacing w:line="360" w:lineRule="auto"/>
        <w:ind w:firstLine="641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（一）建筑信息模型（BIM）技术应用服务费用=计价基础×单价或费率。</w:t>
      </w:r>
    </w:p>
    <w:p>
      <w:pPr>
        <w:spacing w:line="360" w:lineRule="auto"/>
        <w:ind w:firstLine="641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（二）费用基价表为单阶段应用服务费用，当同时提供两个阶段应用服务时，按两个单阶段费用之和的</w:t>
      </w:r>
      <w:r>
        <w:rPr>
          <w:rFonts w:ascii="仿宋" w:hAnsi="仿宋" w:eastAsia="仿宋"/>
          <w:sz w:val="32"/>
          <w:szCs w:val="32"/>
        </w:rPr>
        <w:t xml:space="preserve">65%计算。 </w:t>
      </w:r>
      <w:r>
        <w:rPr>
          <w:rFonts w:eastAsia="仿宋"/>
          <w:sz w:val="32"/>
          <w:szCs w:val="32"/>
        </w:rPr>
        <w:t> </w:t>
      </w:r>
    </w:p>
    <w:p>
      <w:pPr>
        <w:spacing w:line="360" w:lineRule="auto"/>
        <w:ind w:firstLine="641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（三）费用参考价格不包含BIM应用管理平台、BIM技术开发、配套软硬件等费用，如需管理平台、配套软硬件，费用由甲乙双方协定。</w:t>
      </w:r>
    </w:p>
    <w:p>
      <w:pPr>
        <w:spacing w:line="360" w:lineRule="auto"/>
        <w:ind w:firstLine="641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（四）超出国家或海南省发布的有关建筑信息模型应用标准时，费用由双方协商，上浮比例不超出20%。</w:t>
      </w:r>
    </w:p>
    <w:p>
      <w:pPr>
        <w:spacing w:line="360" w:lineRule="auto"/>
        <w:ind w:firstLine="641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（五）使用装配式技术，在本参考价基础上乘以系数1.20。</w:t>
      </w:r>
    </w:p>
    <w:p>
      <w:pPr>
        <w:spacing w:before="156" w:after="156" w:line="400" w:lineRule="exact"/>
        <w:textAlignment w:val="baseline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四、应用BIM技术收费计价参考</w:t>
      </w:r>
    </w:p>
    <w:p>
      <w:pPr>
        <w:spacing w:line="360" w:lineRule="auto"/>
        <w:ind w:firstLine="641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（一）建筑工程（含</w:t>
      </w:r>
      <w:r>
        <w:rPr>
          <w:rFonts w:hint="eastAsia" w:ascii="仿宋" w:hAnsi="仿宋" w:eastAsia="仿宋" w:cs="仿宋"/>
          <w:sz w:val="32"/>
          <w:szCs w:val="32"/>
        </w:rPr>
        <w:t>装配式建筑</w:t>
      </w:r>
      <w:r>
        <w:rPr>
          <w:rFonts w:hint="eastAsia" w:ascii="仿宋" w:hAnsi="仿宋" w:eastAsia="仿宋"/>
          <w:sz w:val="32"/>
          <w:szCs w:val="32"/>
        </w:rPr>
        <w:t>）</w:t>
      </w:r>
    </w:p>
    <w:tbl>
      <w:tblPr>
        <w:tblStyle w:val="7"/>
        <w:tblpPr w:leftFromText="180" w:rightFromText="180" w:vertAnchor="text" w:tblpXSpec="center" w:tblpY="1"/>
        <w:tblOverlap w:val="never"/>
        <w:tblW w:w="83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8"/>
        <w:gridCol w:w="1557"/>
        <w:gridCol w:w="1623"/>
        <w:gridCol w:w="900"/>
        <w:gridCol w:w="1021"/>
        <w:gridCol w:w="1327"/>
        <w:gridCol w:w="108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计价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编号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内容</w:t>
            </w: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计价基础</w:t>
            </w:r>
          </w:p>
        </w:tc>
        <w:tc>
          <w:tcPr>
            <w:tcW w:w="43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计价单价(元/平方米）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6" w:hRule="atLeast"/>
        </w:trPr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单项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工程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土建工程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机电安装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工程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精装修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</w:t>
            </w:r>
          </w:p>
        </w:tc>
        <w:tc>
          <w:tcPr>
            <w:tcW w:w="10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4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设计应用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应用建筑面积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施工应用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应用建筑面积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运维应用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应用建筑面积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</w:tr>
    </w:tbl>
    <w:p>
      <w:pPr>
        <w:spacing w:line="360" w:lineRule="auto"/>
        <w:ind w:firstLine="641"/>
        <w:textAlignment w:val="baseline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（二）综合管廊工程</w:t>
      </w:r>
    </w:p>
    <w:tbl>
      <w:tblPr>
        <w:tblStyle w:val="7"/>
        <w:tblW w:w="838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1527"/>
        <w:gridCol w:w="1390"/>
        <w:gridCol w:w="1413"/>
        <w:gridCol w:w="1591"/>
        <w:gridCol w:w="15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6" w:hRule="exact"/>
          <w:tblHeader/>
          <w:jc w:val="center"/>
        </w:trPr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计价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编号</w:t>
            </w:r>
          </w:p>
        </w:tc>
        <w:tc>
          <w:tcPr>
            <w:tcW w:w="15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内容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计价</w:t>
            </w:r>
          </w:p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基础</w:t>
            </w:r>
          </w:p>
        </w:tc>
        <w:tc>
          <w:tcPr>
            <w:tcW w:w="45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计价费率（%）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Header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单项工程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土建工程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机电安装工程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8" w:hRule="exact"/>
          <w:tblHeader/>
          <w:jc w:val="center"/>
        </w:trPr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B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C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exac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设计应用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建安造价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ascii="仿宋" w:hAnsi="仿宋" w:eastAsia="仿宋"/>
                <w:sz w:val="24"/>
                <w:szCs w:val="24"/>
              </w:rPr>
              <w:t>18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%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ascii="仿宋" w:hAnsi="仿宋" w:eastAsia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4%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ascii="仿宋" w:hAnsi="仿宋" w:eastAsia="仿宋"/>
                <w:sz w:val="24"/>
                <w:szCs w:val="24"/>
              </w:rPr>
              <w:t>32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exac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施工应用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建安造价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0.20%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0.04%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0.36%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2" w:hRule="exact"/>
          <w:jc w:val="center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运维应用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建安造价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ascii="仿宋" w:hAnsi="仿宋" w:eastAsia="仿宋"/>
                <w:sz w:val="24"/>
                <w:szCs w:val="24"/>
              </w:rPr>
              <w:t>16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%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0.03%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0.</w:t>
            </w:r>
            <w:r>
              <w:rPr>
                <w:rFonts w:ascii="仿宋" w:hAnsi="仿宋" w:eastAsia="仿宋"/>
                <w:sz w:val="24"/>
                <w:szCs w:val="24"/>
              </w:rPr>
              <w:t>29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%</w:t>
            </w:r>
          </w:p>
        </w:tc>
      </w:tr>
    </w:tbl>
    <w:p>
      <w:pPr>
        <w:spacing w:line="400" w:lineRule="exact"/>
        <w:ind w:firstLine="4200" w:firstLineChars="1400"/>
        <w:textAlignment w:val="baseline"/>
        <w:rPr>
          <w:sz w:val="30"/>
          <w:szCs w:val="30"/>
        </w:rPr>
      </w:pPr>
    </w:p>
    <w:p>
      <w:pPr>
        <w:spacing w:line="360" w:lineRule="auto"/>
        <w:textAlignment w:val="baseline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</w:t>
      </w:r>
    </w:p>
    <w:p>
      <w:pPr>
        <w:jc w:val="left"/>
        <w:textAlignment w:val="baseline"/>
        <w:rPr>
          <w:rFonts w:ascii="宋体" w:hAnsi="宋体" w:eastAsia="宋体"/>
          <w:sz w:val="30"/>
          <w:szCs w:val="30"/>
        </w:rPr>
      </w:pPr>
    </w:p>
    <w:p>
      <w:pPr>
        <w:jc w:val="left"/>
        <w:textAlignment w:val="baseline"/>
        <w:rPr>
          <w:rFonts w:ascii="宋体" w:hAnsi="宋体" w:eastAsia="宋体"/>
          <w:sz w:val="30"/>
          <w:szCs w:val="30"/>
        </w:rPr>
      </w:pPr>
    </w:p>
    <w:p>
      <w:pPr>
        <w:jc w:val="left"/>
        <w:textAlignment w:val="baseline"/>
        <w:rPr>
          <w:rFonts w:ascii="宋体" w:hAnsi="宋体" w:eastAsia="宋体"/>
          <w:sz w:val="30"/>
          <w:szCs w:val="30"/>
        </w:rPr>
      </w:pPr>
    </w:p>
    <w:p>
      <w:pPr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主编单位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>海南省建设工程造价管理协会</w:t>
      </w:r>
    </w:p>
    <w:p>
      <w:pPr>
        <w:spacing w:line="300" w:lineRule="auto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参编单位</w:t>
      </w:r>
      <w:r>
        <w:rPr>
          <w:rFonts w:hint="eastAsia" w:ascii="仿宋" w:hAnsi="仿宋" w:eastAsia="仿宋"/>
          <w:sz w:val="32"/>
          <w:szCs w:val="32"/>
        </w:rPr>
        <w:t>：海南省建设集团有限公司</w:t>
      </w:r>
    </w:p>
    <w:p>
      <w:pPr>
        <w:spacing w:line="300" w:lineRule="auto"/>
        <w:ind w:firstLine="1600" w:firstLineChars="5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海南省海建科技股份有限公司</w:t>
      </w:r>
    </w:p>
    <w:p>
      <w:pPr>
        <w:spacing w:line="300" w:lineRule="auto"/>
        <w:ind w:firstLine="1600" w:firstLineChars="5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海南省设计研究院有限公司</w:t>
      </w:r>
    </w:p>
    <w:p>
      <w:pPr>
        <w:spacing w:line="300" w:lineRule="auto"/>
        <w:ind w:firstLine="1600" w:firstLineChars="5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金景（海南）科技发展有限公司</w:t>
      </w:r>
    </w:p>
    <w:p>
      <w:pPr>
        <w:spacing w:line="300" w:lineRule="auto"/>
        <w:ind w:firstLine="1600" w:firstLineChars="5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海南数字建设项目咨询有限公司</w:t>
      </w:r>
    </w:p>
    <w:p>
      <w:pPr>
        <w:spacing w:line="300" w:lineRule="auto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</w:t>
      </w:r>
      <w:r>
        <w:rPr>
          <w:rFonts w:ascii="仿宋" w:hAnsi="仿宋" w:eastAsia="仿宋"/>
          <w:sz w:val="32"/>
          <w:szCs w:val="32"/>
        </w:rPr>
        <w:t>中国建筑第六工程局华南分公司</w:t>
      </w:r>
    </w:p>
    <w:p>
      <w:pPr>
        <w:spacing w:line="300" w:lineRule="auto"/>
        <w:ind w:firstLine="640" w:firstLineChars="2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海南慧远信息科技有限公司</w:t>
      </w:r>
    </w:p>
    <w:p>
      <w:pPr>
        <w:spacing w:line="300" w:lineRule="auto"/>
        <w:ind w:firstLine="1600" w:firstLineChars="5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嘉瑞（海南）建设信息科技有限公司 </w:t>
      </w:r>
    </w:p>
    <w:p>
      <w:pPr>
        <w:spacing w:line="300" w:lineRule="auto"/>
        <w:ind w:firstLine="1600" w:firstLineChars="5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海南励行工程信息咨询有限公司</w:t>
      </w:r>
    </w:p>
    <w:p>
      <w:pPr>
        <w:spacing w:line="300" w:lineRule="auto"/>
        <w:ind w:firstLine="1600" w:firstLineChars="5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海口经济学院</w:t>
      </w:r>
    </w:p>
    <w:p>
      <w:pPr>
        <w:spacing w:line="300" w:lineRule="auto"/>
        <w:ind w:firstLine="1600" w:firstLineChars="5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海南职业技术学院</w:t>
      </w:r>
    </w:p>
    <w:p>
      <w:pPr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主要起草人：王禄修 </w:t>
      </w:r>
      <w:r>
        <w:rPr>
          <w:rFonts w:ascii="仿宋" w:hAnsi="仿宋" w:eastAsia="仿宋"/>
          <w:sz w:val="32"/>
          <w:szCs w:val="32"/>
        </w:rPr>
        <w:t>王健飞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廖益林</w:t>
      </w:r>
      <w:r>
        <w:rPr>
          <w:rFonts w:hint="eastAsia" w:ascii="仿宋" w:hAnsi="仿宋" w:eastAsia="仿宋"/>
          <w:sz w:val="32"/>
          <w:szCs w:val="32"/>
        </w:rPr>
        <w:t xml:space="preserve"> 陈淑伟 </w:t>
      </w:r>
    </w:p>
    <w:p>
      <w:pPr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伍丽莉 熊祚森 周士翔 欧海龙 </w:t>
      </w:r>
    </w:p>
    <w:p>
      <w:pPr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朱小六 曹  杨 刘东明 杜定绩 </w:t>
      </w:r>
    </w:p>
    <w:p>
      <w:pPr>
        <w:jc w:val="lef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王常林 李福龙  赵贵荣</w:t>
      </w:r>
    </w:p>
    <w:p>
      <w:pPr>
        <w:jc w:val="left"/>
        <w:textAlignment w:val="baseline"/>
        <w:rPr>
          <w:rFonts w:ascii="宋体" w:hAnsi="宋体" w:eastAsia="宋体"/>
          <w:sz w:val="30"/>
          <w:szCs w:val="30"/>
        </w:rPr>
      </w:pPr>
    </w:p>
    <w:p>
      <w:pPr>
        <w:jc w:val="left"/>
        <w:textAlignment w:val="baseline"/>
        <w:rPr>
          <w:rFonts w:ascii="宋体" w:hAnsi="宋体" w:eastAsia="宋体"/>
          <w:sz w:val="30"/>
          <w:szCs w:val="30"/>
        </w:rPr>
      </w:pPr>
    </w:p>
    <w:p>
      <w:pPr>
        <w:jc w:val="left"/>
        <w:textAlignment w:val="baseline"/>
        <w:rPr>
          <w:rFonts w:ascii="宋体" w:hAnsi="宋体" w:eastAsia="宋体"/>
          <w:sz w:val="30"/>
          <w:szCs w:val="30"/>
        </w:rPr>
      </w:pPr>
    </w:p>
    <w:p>
      <w:pPr>
        <w:jc w:val="left"/>
        <w:textAlignment w:val="baseline"/>
        <w:rPr>
          <w:rFonts w:ascii="宋体" w:hAnsi="宋体" w:eastAsia="宋体"/>
          <w:sz w:val="30"/>
          <w:szCs w:val="30"/>
        </w:rPr>
      </w:pPr>
    </w:p>
    <w:p>
      <w:pPr>
        <w:spacing w:line="360" w:lineRule="auto"/>
        <w:textAlignment w:val="baseline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B22"/>
    <w:rsid w:val="00025C2F"/>
    <w:rsid w:val="00041425"/>
    <w:rsid w:val="000A0E35"/>
    <w:rsid w:val="000B48A5"/>
    <w:rsid w:val="00131B25"/>
    <w:rsid w:val="00140029"/>
    <w:rsid w:val="001416EC"/>
    <w:rsid w:val="00154ED0"/>
    <w:rsid w:val="00170EA9"/>
    <w:rsid w:val="00174B05"/>
    <w:rsid w:val="00182F88"/>
    <w:rsid w:val="001B2ECC"/>
    <w:rsid w:val="001C7CAB"/>
    <w:rsid w:val="00215456"/>
    <w:rsid w:val="002375BC"/>
    <w:rsid w:val="00246455"/>
    <w:rsid w:val="00265534"/>
    <w:rsid w:val="00296E0F"/>
    <w:rsid w:val="002A33F8"/>
    <w:rsid w:val="002B0F5A"/>
    <w:rsid w:val="002B5500"/>
    <w:rsid w:val="002C1AC0"/>
    <w:rsid w:val="002C7409"/>
    <w:rsid w:val="002F785E"/>
    <w:rsid w:val="00301AE4"/>
    <w:rsid w:val="00303357"/>
    <w:rsid w:val="00315144"/>
    <w:rsid w:val="003535AC"/>
    <w:rsid w:val="00434CBB"/>
    <w:rsid w:val="00444151"/>
    <w:rsid w:val="0045079F"/>
    <w:rsid w:val="0046469B"/>
    <w:rsid w:val="00465450"/>
    <w:rsid w:val="00465E37"/>
    <w:rsid w:val="004F4528"/>
    <w:rsid w:val="005353C7"/>
    <w:rsid w:val="00556535"/>
    <w:rsid w:val="0057085A"/>
    <w:rsid w:val="005A30DB"/>
    <w:rsid w:val="005B2465"/>
    <w:rsid w:val="005C46F8"/>
    <w:rsid w:val="005D3FE9"/>
    <w:rsid w:val="005E4AD9"/>
    <w:rsid w:val="005F0A90"/>
    <w:rsid w:val="00616FE7"/>
    <w:rsid w:val="00627898"/>
    <w:rsid w:val="006427B4"/>
    <w:rsid w:val="006527A3"/>
    <w:rsid w:val="00655C17"/>
    <w:rsid w:val="00662769"/>
    <w:rsid w:val="006A7E21"/>
    <w:rsid w:val="006E77DE"/>
    <w:rsid w:val="007023CB"/>
    <w:rsid w:val="00706808"/>
    <w:rsid w:val="0075475D"/>
    <w:rsid w:val="00786707"/>
    <w:rsid w:val="007934D6"/>
    <w:rsid w:val="007946C9"/>
    <w:rsid w:val="007A6D9B"/>
    <w:rsid w:val="007E521D"/>
    <w:rsid w:val="00801E7F"/>
    <w:rsid w:val="008041B1"/>
    <w:rsid w:val="00806124"/>
    <w:rsid w:val="0082285B"/>
    <w:rsid w:val="008402C0"/>
    <w:rsid w:val="00867C4B"/>
    <w:rsid w:val="00871962"/>
    <w:rsid w:val="00874671"/>
    <w:rsid w:val="00896399"/>
    <w:rsid w:val="008D7C73"/>
    <w:rsid w:val="009152F2"/>
    <w:rsid w:val="009763B1"/>
    <w:rsid w:val="009E02FF"/>
    <w:rsid w:val="00A06BE3"/>
    <w:rsid w:val="00A16A04"/>
    <w:rsid w:val="00A209BB"/>
    <w:rsid w:val="00A35ED9"/>
    <w:rsid w:val="00A45DB3"/>
    <w:rsid w:val="00A53A48"/>
    <w:rsid w:val="00A91E38"/>
    <w:rsid w:val="00A95306"/>
    <w:rsid w:val="00AC0718"/>
    <w:rsid w:val="00B070B4"/>
    <w:rsid w:val="00B25F1E"/>
    <w:rsid w:val="00B452E8"/>
    <w:rsid w:val="00B530FC"/>
    <w:rsid w:val="00B64510"/>
    <w:rsid w:val="00BE1BE0"/>
    <w:rsid w:val="00C034E3"/>
    <w:rsid w:val="00C261A3"/>
    <w:rsid w:val="00C830E0"/>
    <w:rsid w:val="00CC6D12"/>
    <w:rsid w:val="00CF7CB8"/>
    <w:rsid w:val="00D35314"/>
    <w:rsid w:val="00D42FC3"/>
    <w:rsid w:val="00DA6644"/>
    <w:rsid w:val="00DB3358"/>
    <w:rsid w:val="00DB3885"/>
    <w:rsid w:val="00DF609F"/>
    <w:rsid w:val="00E0620D"/>
    <w:rsid w:val="00E32C41"/>
    <w:rsid w:val="00E51870"/>
    <w:rsid w:val="00E61561"/>
    <w:rsid w:val="00E76416"/>
    <w:rsid w:val="00EA5CC4"/>
    <w:rsid w:val="00EE4B29"/>
    <w:rsid w:val="00EF71F2"/>
    <w:rsid w:val="00F037AA"/>
    <w:rsid w:val="00F31F55"/>
    <w:rsid w:val="00F951CF"/>
    <w:rsid w:val="00FC1B22"/>
    <w:rsid w:val="53000952"/>
    <w:rsid w:val="59BE0A94"/>
    <w:rsid w:val="6AFE3E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页眉 Char"/>
    <w:basedOn w:val="8"/>
    <w:link w:val="6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3"/>
    <w:semiHidden/>
    <w:uiPriority w:val="99"/>
  </w:style>
  <w:style w:type="character" w:customStyle="1" w:styleId="13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EFC1BC-FCA7-4416-A5DD-FB5DFD79DD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295</Words>
  <Characters>1685</Characters>
  <Lines>14</Lines>
  <Paragraphs>3</Paragraphs>
  <TotalTime>10</TotalTime>
  <ScaleCrop>false</ScaleCrop>
  <LinksUpToDate>false</LinksUpToDate>
  <CharactersWithSpaces>1977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2021-01-28T01:06:00Z</dcterms:created>
  <dc:creator>PC</dc:creator>
  <cp:lastModifiedBy>宏</cp:lastModifiedBy>
  <cp:lastPrinted>2021-01-08T07:54:00Z</cp:lastPrinted>
  <dcterms:modified xsi:type="dcterms:W3CDTF">2021-04-07T09:37:16Z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4F64440C910942E2A8D15A2DC4CEED7E</vt:lpwstr>
  </property>
</Properties>
</file>