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spacing w:line="540" w:lineRule="exact"/>
        <w:ind w:firstLine="0" w:firstLineChars="0"/>
        <w:jc w:val="center"/>
        <w:rPr>
          <w:rFonts w:hint="eastAsia" w:ascii="方正小标宋_GBK" w:eastAsia="方正小标宋_GBK"/>
          <w:color w:val="auto"/>
          <w:sz w:val="28"/>
          <w:szCs w:val="28"/>
        </w:rPr>
      </w:pPr>
    </w:p>
    <w:p>
      <w:pPr>
        <w:spacing w:line="540" w:lineRule="exact"/>
        <w:ind w:firstLine="0" w:firstLineChars="0"/>
        <w:jc w:val="center"/>
        <w:rPr>
          <w:rFonts w:ascii="方正小标宋_GBK" w:eastAsia="方正小标宋_GBK"/>
          <w:color w:val="auto"/>
        </w:rPr>
      </w:pPr>
      <w:r>
        <w:rPr>
          <w:rFonts w:hint="eastAsia" w:ascii="方正小标宋_GBK" w:eastAsia="方正小标宋_GBK"/>
          <w:color w:val="auto"/>
          <w:sz w:val="44"/>
          <w:szCs w:val="44"/>
        </w:rPr>
        <w:t>海南省房屋建筑和市政工程工程量清单招标投标评标办法</w:t>
      </w:r>
    </w:p>
    <w:p>
      <w:pPr>
        <w:spacing w:line="540" w:lineRule="exact"/>
        <w:ind w:firstLine="480"/>
        <w:rPr>
          <w:color w:val="auto"/>
        </w:rPr>
      </w:pPr>
    </w:p>
    <w:p>
      <w:pPr>
        <w:pStyle w:val="4"/>
        <w:spacing w:line="540" w:lineRule="exact"/>
        <w:rPr>
          <w:rFonts w:hint="eastAsia" w:ascii="黑体" w:hAnsi="黑体" w:eastAsia="黑体" w:cs="黑体"/>
          <w:color w:val="auto"/>
          <w:sz w:val="32"/>
          <w:szCs w:val="32"/>
        </w:rPr>
      </w:pPr>
      <w:bookmarkStart w:id="0" w:name="_Toc123720440"/>
      <w:r>
        <w:rPr>
          <w:rFonts w:hint="eastAsia" w:ascii="黑体" w:hAnsi="黑体" w:eastAsia="黑体" w:cs="黑体"/>
          <w:b w:val="0"/>
          <w:bCs w:val="0"/>
          <w:color w:val="auto"/>
          <w:sz w:val="32"/>
          <w:szCs w:val="32"/>
        </w:rPr>
        <w:t>第一章　总　则</w:t>
      </w:r>
      <w:bookmarkEnd w:id="0"/>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规范我省房屋建筑和市政工程工程量清单招标投标活动，维护当事人合法权益，保证工程量清单招标评标的工作质量，根据《中华人民共和国招标投标法》、《中华人民共和国招标投标法实施条例》、《评标委员会和评标方法暂行规定》、《建设工程工程量清单计价规范》（以下简称《计价规范》、《建筑工程施工发包与承包计价管理办法》等法律、法规，结合我省实际情况，制定本办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在我省行政区域内，全部使用国有资金投资或者国有资金占控股或主导地位的房屋建筑和市政工程施工招标时，应当采用工程量清单招标。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工程量清单招标投标活动应当遵循公开、公平、公正、诚实信用和科学择优的原则。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工程量清单招标评标办法</w:t>
      </w:r>
      <w:r>
        <w:rPr>
          <w:rFonts w:hint="eastAsia" w:ascii="仿宋_GB2312" w:hAnsi="仿宋_GB2312" w:eastAsia="仿宋_GB2312" w:cs="仿宋_GB2312"/>
          <w:color w:val="auto"/>
          <w:sz w:val="32"/>
          <w:szCs w:val="32"/>
          <w:lang w:eastAsia="zh-CN"/>
        </w:rPr>
        <w:t>按照《关于进一步推进房屋建筑和市政工程招投标制度改革的若干措施（试行）》相关规定执行</w:t>
      </w:r>
      <w:r>
        <w:rPr>
          <w:rFonts w:hint="eastAsia" w:ascii="仿宋_GB2312" w:hAnsi="仿宋_GB2312" w:eastAsia="仿宋_GB2312" w:cs="仿宋_GB2312"/>
          <w:color w:val="auto"/>
          <w:sz w:val="32"/>
          <w:szCs w:val="32"/>
        </w:rPr>
        <w:t>。</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招标人应当根据本办法第四条规定和招标项目的实际情况，在招标文件中明确评标办法及技术标、商务标的具体评分分值权重构成（总分应按100分计）。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各市县建设行政主管部门依照职责分工对招标投标活动实施监督，发现有下列情形之一的，应当责令招标人纠正：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（一）招标文件没有载明评标办法、否决投标条件或影响正常招标投标评标的相关事项不明确的；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（二）评标办法含有违反相关法律、法规和本办法规定的内容的；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（三）招标文件中未明确规定对失信被执行人的处理方法和评标标准的以及未明确通过信用中国网、海南省建筑市场监管公共服务平台查询及处理方法的；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（四）评标办法含有明显的定向指向性，妨碍或者限制投标人之间正常竞争的；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（五）评标办法存在明显的矛盾或错误，将导致评标无法正常进行的。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企业、从业人员的诚信评价的评审和评分标准依照省住房和城乡建设厅制定的</w:t>
      </w:r>
      <w:r>
        <w:rPr>
          <w:rStyle w:val="30"/>
          <w:rFonts w:hint="eastAsia" w:ascii="仿宋_GB2312" w:hAnsi="仿宋_GB2312" w:eastAsia="仿宋_GB2312" w:cs="仿宋_GB2312"/>
          <w:b w:val="0"/>
          <w:bCs w:val="0"/>
          <w:color w:val="auto"/>
          <w:sz w:val="32"/>
          <w:szCs w:val="32"/>
        </w:rPr>
        <w:t>《海南省建筑市场诚信评价管理办法</w:t>
      </w:r>
      <w:r>
        <w:rPr>
          <w:rStyle w:val="30"/>
          <w:rFonts w:hint="eastAsia" w:ascii="仿宋_GB2312" w:hAnsi="仿宋_GB2312" w:eastAsia="仿宋_GB2312" w:cs="仿宋_GB2312"/>
          <w:b w:val="0"/>
          <w:bCs w:val="0"/>
          <w:color w:val="auto"/>
          <w:sz w:val="32"/>
          <w:szCs w:val="32"/>
          <w:lang w:eastAsia="zh-CN"/>
        </w:rPr>
        <w:t>及相关市场主体信用评价标准</w:t>
      </w:r>
      <w:r>
        <w:rPr>
          <w:rStyle w:val="30"/>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琼建管〔</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433</w:t>
      </w:r>
      <w:r>
        <w:rPr>
          <w:rFonts w:hint="eastAsia" w:ascii="仿宋_GB2312" w:hAnsi="仿宋_GB2312" w:eastAsia="仿宋_GB2312" w:cs="仿宋_GB2312"/>
          <w:color w:val="auto"/>
          <w:sz w:val="32"/>
          <w:szCs w:val="32"/>
        </w:rPr>
        <w:t>号）进行评审和评分。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第八条   </w:t>
      </w:r>
      <w:r>
        <w:rPr>
          <w:rFonts w:hint="eastAsia" w:ascii="仿宋_GB2312" w:hAnsi="仿宋_GB2312" w:eastAsia="仿宋_GB2312" w:cs="仿宋_GB2312"/>
          <w:color w:val="auto"/>
          <w:sz w:val="32"/>
          <w:szCs w:val="32"/>
        </w:rPr>
        <w:t>招标项目资格审查分为资格预审和资格后审。除设计有超高或大跨度建筑、城市轨道交通、大型市政桥梁、大型地下公共设施等复杂工程可进行资格预审外，其他房屋建筑和市政工程应当采用资格后审方式。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提倡大标段或者总承包招标。招标人应当根据自身项目管理能力，结合承包企业的经济、技术和管理实力，合理划分标段，明确总承包范围。政府投资项目和装配式建筑推行工程总承包模式。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本省行政区域内装配式保障性住房项目、政府投资的单体建筑面积≥30000m2以上的公建项目或招标控制价≥8000万元的其他房屋建筑工程</w:t>
      </w:r>
      <w:r>
        <w:rPr>
          <w:rFonts w:hint="eastAsia" w:ascii="仿宋_GB2312" w:hAnsi="仿宋_GB2312" w:eastAsia="仿宋_GB2312" w:cs="仿宋_GB2312"/>
          <w:color w:val="auto"/>
          <w:sz w:val="32"/>
          <w:szCs w:val="32"/>
          <w:lang w:eastAsia="zh-CN"/>
        </w:rPr>
        <w:t>，施工招标采用综合评估法的，</w:t>
      </w:r>
      <w:r>
        <w:rPr>
          <w:rFonts w:hint="eastAsia" w:ascii="仿宋_GB2312" w:hAnsi="仿宋_GB2312" w:eastAsia="仿宋_GB2312" w:cs="仿宋_GB2312"/>
          <w:color w:val="auto"/>
          <w:sz w:val="32"/>
          <w:szCs w:val="32"/>
        </w:rPr>
        <w:t>应当应用BIM技术。</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在招标投标活动中实施招标投标文件的电子化和计算机辅助评标方式。招标人、投标人及招标代理机构使用的招投标文件编制软件和工程计价软件应当符合国家相关法律、法规、技术规范和我省相关要求。</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招标投标交易场所采用的建设工程电子招标投标系统软件应符合下列规定：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（一）应通过电子招标投标系统检测验证机构的检测验证，符合《电子招标投标办法》、《电子招标投标系统技术规范》和《电子招标投标系统检测认证规范》等国家有关规定要求；</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（二）准确记录投标人的CPU号、硬盘序列号、计价软件加密锁号、上传</w:t>
      </w:r>
      <w:r>
        <w:rPr>
          <w:rFonts w:hint="eastAsia" w:ascii="仿宋_GB2312" w:hAnsi="仿宋_GB2312" w:eastAsia="仿宋_GB2312" w:cs="仿宋_GB2312"/>
          <w:color w:val="auto"/>
          <w:sz w:val="32"/>
          <w:szCs w:val="32"/>
          <w:lang w:eastAsia="zh-CN"/>
        </w:rPr>
        <w:t>投标文件</w:t>
      </w:r>
      <w:r>
        <w:rPr>
          <w:rFonts w:hint="eastAsia" w:ascii="仿宋_GB2312" w:hAnsi="仿宋_GB2312" w:eastAsia="仿宋_GB2312" w:cs="仿宋_GB2312"/>
          <w:color w:val="auto"/>
          <w:sz w:val="32"/>
          <w:szCs w:val="32"/>
        </w:rPr>
        <w:t>的IP</w:t>
      </w:r>
      <w:r>
        <w:rPr>
          <w:rFonts w:hint="eastAsia" w:ascii="仿宋_GB2312" w:hAnsi="仿宋_GB2312" w:eastAsia="仿宋_GB2312" w:cs="仿宋_GB2312"/>
          <w:color w:val="auto"/>
          <w:sz w:val="32"/>
          <w:szCs w:val="32"/>
          <w:lang w:eastAsia="zh-CN"/>
        </w:rPr>
        <w:t>地址</w:t>
      </w:r>
      <w:r>
        <w:rPr>
          <w:rFonts w:hint="eastAsia" w:ascii="仿宋_GB2312" w:hAnsi="仿宋_GB2312" w:eastAsia="仿宋_GB2312" w:cs="仿宋_GB2312"/>
          <w:color w:val="auto"/>
          <w:sz w:val="32"/>
          <w:szCs w:val="32"/>
        </w:rPr>
        <w:t>号等信息。</w:t>
      </w:r>
    </w:p>
    <w:p>
      <w:pPr>
        <w:pStyle w:val="4"/>
        <w:spacing w:line="540" w:lineRule="exact"/>
        <w:rPr>
          <w:rFonts w:hint="eastAsia" w:ascii="黑体" w:hAnsi="黑体" w:eastAsia="黑体" w:cs="黑体"/>
          <w:b w:val="0"/>
          <w:bCs w:val="0"/>
          <w:color w:val="auto"/>
          <w:sz w:val="32"/>
          <w:szCs w:val="32"/>
        </w:rPr>
      </w:pPr>
      <w:bookmarkStart w:id="1" w:name="_Toc123720441"/>
      <w:r>
        <w:rPr>
          <w:rFonts w:hint="eastAsia" w:ascii="黑体" w:hAnsi="黑体" w:eastAsia="黑体" w:cs="黑体"/>
          <w:b w:val="0"/>
          <w:bCs w:val="0"/>
          <w:color w:val="auto"/>
          <w:sz w:val="32"/>
          <w:szCs w:val="32"/>
        </w:rPr>
        <w:t>第二章　招　标</w:t>
      </w:r>
      <w:bookmarkEnd w:id="1"/>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招标分为公开招标和邀请招标。有下列情形之一的，可以邀请招标：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（一）经国务院发展和改革部门或者省人民政府批准不适宜公开招标的国家重点项目或地方重点项目；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（二）技术复杂、有特殊要求或者受自然环境限制，只有少量潜在投标人可供选择的项目；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（三）采用公开招标方式的费用占项目合同金额的比例过大的项目。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非国有资金投资的房屋建筑和市政工程由建设单位自主决定发包方式。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达到国家规定招标规模标准的招标项目，招标人应当通过市场择优方式选择符合要求的招标代理机构，查询其失信被执行人信息，并通过对资格以及在我省行政区域内执业能力、业绩、信誉等情况进行综合比较，从中选择适应招标项目特点且综合评价最优的招标代理机构，鼓励优先选择无失信记录的招标代理机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招标代理机构与行政机关和其他国家机关不得存在隶属关系或者其他利益关系。</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依法必须进行招标的项目，应当在全国电子招标投标公共服务平台上公开发布招标公告和公示信息，公告中应明确规定对失信被执行人的处理方法以及载明投标条件须具备登记、建立《海南省建筑企业诚信档案手册》。</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招标人编制的招标文件和资格预审文件中应明确规定对失信被执行人的评标标准，并不得有下列情形：</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（一）以不合理的条件限制或者排斥潜在投标人，或对潜在投标人实行歧视待遇；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（二）擅自提高项目负责人（建造师或风景园林职称资格专业人员）资格等条件，限制或排斥依法规具有与招标项目相适应资质或资格的投标人参加投标的行为；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（三）要求企业提供建筑业企业资质证书、营业执照、银行开户许可证等原件，证书情况可通过扫描二维码或通过网页查询；</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（四）要求投标人只以现金方式提交保证金的行为，或特定投标保证金银行帐户；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（五）总承包招标时要求投标人在具备总承包资质的同时，还必须具备该总承包资质范围内的专业承包资质，但国家另有规定的除外；</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（六）施工总承包资质企业参与专业工程的投标，应以专业工程资质参与专业工程的投标；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（七）招标工程要求投标人同时具备多项资质条件的，招标人应当允许投标人采用联合体投标；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（八）以现金形式提交的投标保证金应当从其基本帐户转出，禁止采用现金现场交纳方式，鼓励在招标公告和招标文件中明确采用银行保函、建设工程保证保险等形式交纳投标保证金。</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招标人应当在招标文件中提供招标项目的工程量清单并作为招标文件的组成部分。招标文件的合规性、准确性、完整性应由招标人负责。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招标项目工程量清单应由具有编制能力的招标人或其委托具有相应资质的工程造价咨询机构编制。工程量清单应当由注册造价工程师签字并加盖执业专用章，否则无效。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招标工程量清单编制应当依据：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（一）《计价规范》和相关工程的国家计量规范；</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（二）省建设行政主管部门颁发的计价定额和计价办法；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（三）建设工程设计文件及相关资料；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（四）与建设项目相关的标准、规范、技术资料；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（五）招标文件；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（六）施工现场情况、地勘水文资料、工程特点及常规施工方案；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（七）其他相关资料。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工程量清单是编制招标控制价、投标报价、签订合同、支付工程进度款，办理工程竣工结算的依据。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招标人对已发出的招标文件进行必要的澄清或者修改的，应当在招标文件要求提交投标文件截止时间至少15日前，以书面形式通知所有招标文件收受人或在招标公告指定媒介上公开发布澄清或者修改内容，该澄清或者修改的内容为招标文件的组成部分。不足15日的，招标人应当顺延提交投标文件的截止时间。</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工程量清单招标项目，招标人应当编制招标控制价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招标控制价＜1亿元的房屋建筑工程和招标控制价＜8000万元的市政工程，在发布招标文件时应当公布招标工程量清单和招标控制价的所有内容；招标控制价≧1亿元的房屋建筑工程和招标控制价≧8000万元的市政工程，在发布招标文件时招标控制价公布的内容应包括总价、各专业工程造价、各分部分项工程工程费、不可竞争费、措施项目费、其他项目费、规费和税金，不得只公布招标控制价的总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招标控制价应由具备编制能力的招标人或其委托具有相应资质的工程造价咨询机构进行编制并由注册造价工程师签字及加盖执业专用章，否则无效。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招标控制价编制应依据：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（一）《计价规范》；</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（二）省建设行政主管部门颁发的计价定额和计价办法；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（三）建设工程设计文件及相关资料；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（四）招标文件及招标工程量清单；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（五）与建设项目相关的标准、规范、技术资料；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（六）施工现场情况、工程特点及常规施工方案；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（七）编制时期工程造价管理机构发布的工程造价信息或市场价格信息；</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财政部、国家税务总局《关于全面推开营业税改征增值税试点的通知》，住房城乡建设部办公厅《关于做好建筑业营改增建设工程计价依据调整准备工作的通知》以及《关于建筑业营业税改征增值税调整海南省建设工程计价依据的实施意见》等规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（九）其他资料。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暂估价形式包含在招标控制价内用于支付必然发生但暂时不能确定价格的材料、工程设备及专业工程，规模达到国家规定招标标准的，应依法组织招标，否则视为规避招标。暂估价部分的工程估价累计不得超过本工程按照图纸计算的招标控制价的15%。双方当事人的风险和责任由合同约定。</w:t>
      </w:r>
    </w:p>
    <w:p>
      <w:pPr>
        <w:pStyle w:val="4"/>
        <w:spacing w:line="540" w:lineRule="exact"/>
        <w:rPr>
          <w:rFonts w:hint="eastAsia" w:ascii="黑体" w:hAnsi="黑体" w:eastAsia="黑体" w:cs="黑体"/>
          <w:b w:val="0"/>
          <w:bCs w:val="0"/>
          <w:color w:val="auto"/>
          <w:sz w:val="32"/>
          <w:szCs w:val="32"/>
        </w:rPr>
      </w:pPr>
      <w:bookmarkStart w:id="2" w:name="_Toc123720442"/>
      <w:r>
        <w:rPr>
          <w:rFonts w:hint="eastAsia" w:ascii="黑体" w:hAnsi="黑体" w:eastAsia="黑体" w:cs="黑体"/>
          <w:b w:val="0"/>
          <w:bCs w:val="0"/>
          <w:color w:val="auto"/>
          <w:sz w:val="32"/>
          <w:szCs w:val="32"/>
        </w:rPr>
        <w:t>第三章　投　标</w:t>
      </w:r>
      <w:bookmarkEnd w:id="2"/>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投标人应当具备承担招标项目的能力。在符合法律、法规的前提下，招标文件对投标人资格条件有合理规定的，投标人应当具备规定的资格条件。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禁止建筑施工企业超越本企业资质等级许可的业务范围或者以其他建筑施工企业的名义承揽工程。禁止建筑施工企业以任何形式允许其他单位或者个人使用本企业的资质证书、营业执照或以本企业的名义承揽工程。</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参与我省房屋建筑和市政工程招标投标活动的建筑业企业应当依照</w:t>
      </w:r>
      <w:r>
        <w:rPr>
          <w:rFonts w:hint="eastAsia" w:ascii="仿宋_GB2312" w:hAnsi="仿宋_GB2312" w:eastAsia="仿宋_GB2312" w:cs="仿宋_GB2312"/>
          <w:sz w:val="32"/>
          <w:szCs w:val="32"/>
        </w:rPr>
        <w:t>《海南省建筑市场信用管理办法》（琼建管〔2020〕433号）</w:t>
      </w:r>
      <w:r>
        <w:rPr>
          <w:rFonts w:hint="eastAsia" w:ascii="仿宋_GB2312" w:hAnsi="仿宋_GB2312" w:eastAsia="仿宋_GB2312" w:cs="仿宋_GB2312"/>
          <w:color w:val="auto"/>
          <w:sz w:val="32"/>
          <w:szCs w:val="32"/>
        </w:rPr>
        <w:t>要求，建立《诚信档案手册》。未建立的，不得参与我省房屋建筑和市政工程的投标。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投标人的投标文件应当对招标文件提出的实质性要求和条件做出响应。其投标报价应按照招标文件、招标工程量清单、设计图纸或参照国家和省建设行政主管部门发布的相关工程定额及工程造价管理部门发布的人工、材料、施工机械台班等价格信息或市场价格信息，并考虑风险因素，自行确定编制方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投标人发现招标工程量清单计算存在明显误差或有遗漏的，应当在投标截止时间10日前向招标人提出。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投标人不得擅自修改招标工程量清单。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投标人应依照财政部、国家税务总局《关于全面推开营业税改征增值税试点的通知》，住房城乡建设部办公厅《关于做好建筑业营改增建设工程计价依据调整准备工作的通知》等规定并结合企业自身条件编制投标文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投标报价文件由投标人自行编制的，应当由本企业的造价专业人员（注册造价工程师）签字并加盖执业专用章（仅由注册造价工程师提供，职称资格人员不做要求）；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造价咨询机构在同一招标项目中，只可以接受招标人或一个投标人的委托并编制招标控制价或投标报价，不得为同一招标项目的两个或者两个以上投标人编制投标报价，亦不得既为招标人编制招标控制价同时又为投标人编制投标报价，否则其编制的招标控制价和投标报价无效并视为存在相互串通投标行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投标报价不得低于工程成本。投标报价存在下列情形之一，无相反证据情况下，一般可以评定为投标报价低于工程成本：</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（一）投标报价的综合造价指标低于我省建设行政主管部门发布的最低限价指标的；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（二）投标报价低于我省建设行政主管部门发布的招标控制价最低限价一定幅度，并经评标委员会质疑，不能进行合理说明或提供相关证明材料的；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（三）投标报价低于招标人（招标代理机构或建设单位）组织与该工程专业相应的注册造价工程师、工程技术人员等按照工程计价程序、方法和依据及招标工程量清单并结合工程特点或参考附件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“工程成本参考计算表”计算的工程成本（工程成本应当保密），并经评标委员会质疑，未能作出合理的书面说明并提供相关证明材料的；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（四）经评标委员会评定低于工程成本的其他情形。</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工程成本是指承包人为实施合同并达到竣工验收合格及以上质量标准，在确保安全生产和文明施工的前提下，必须消耗或使用的人工、材料、工程设备、施工机械台班及其管理等方面发生的费用和按规定缴纳的规费和税金。</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投标人不得采用总价优惠或百分比优惠的方式进行投标报价。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建筑业企业参与投标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投标文件一并密封提交评标委员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投标人应当按照以下规定参加招标项目的开标活动，违反下列其中之一的，视为主动放弃投标资格：</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（一）采用综合评估法进行评标的招标项目，投标人拟派的项目负责人（建造师或如风景园林职称资格专业人员，具体资格条件根据招标文件要求）应当到开标现场参加开标；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由招标人在全国电子招标投标公共服务平台上进行公示，接受社会监督。中标单位公示时间从做出承诺之日起至项目通过竣工验收，由中标单位提出撤销申请并经招标人同意撤销时止；未中标的单位公示时间为30日。</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两个或两个以上法人以联合体形式参加投标的，应当遵守以下规定：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（一）提交联合体各成员单位共同签订的共同投标协议，明确各成员单位各自的权利和义务以及应当承担的责任，同时载明联合体各成员单位的具体工作分工；</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（二）联合体各成员单位应当具备与联合体协议中约定的分工相适应的施工资质或资格以及施工能力；</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（三）联合体各方签订共同投标协议后，不得再以自己名义单独或者以其他联合体成员的名义参加同一项目的投标。</w:t>
      </w:r>
    </w:p>
    <w:p>
      <w:pPr>
        <w:pStyle w:val="4"/>
        <w:spacing w:line="540" w:lineRule="exact"/>
        <w:rPr>
          <w:rFonts w:hint="eastAsia" w:ascii="黑体" w:hAnsi="黑体" w:eastAsia="黑体" w:cs="黑体"/>
          <w:b w:val="0"/>
          <w:bCs w:val="0"/>
          <w:color w:val="auto"/>
          <w:sz w:val="32"/>
          <w:szCs w:val="32"/>
        </w:rPr>
      </w:pPr>
      <w:bookmarkStart w:id="3" w:name="_Toc123720443"/>
      <w:r>
        <w:rPr>
          <w:rFonts w:hint="eastAsia" w:ascii="黑体" w:hAnsi="黑体" w:eastAsia="黑体" w:cs="黑体"/>
          <w:b w:val="0"/>
          <w:bCs w:val="0"/>
          <w:color w:val="auto"/>
          <w:sz w:val="32"/>
          <w:szCs w:val="32"/>
        </w:rPr>
        <w:t>第四章　评标和中标</w:t>
      </w:r>
      <w:bookmarkEnd w:id="3"/>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工程量清单招标的评标活动，应遵守相关法律、法规和本办法规定及招标文件的相关要求。</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依法必须进行招标的项目，评标由招标人依法组建的评标委员会负责。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委员会的专家成员应当从省级以上人民政府有关部门依法组建的综合评标专家库（含BIM技术专家库）中随机抽取5人以上的单数组成并满足招标项目的评标要求，其中技术、经济等方面专家（应用BIM技术的招标项目应抽取BIM技术专家，园林绿化工程招标项目应当有园林专业专家）不得少于总人数的三分之二且至少有一名注册造价工程师。评标委员会各成员应当按照招标文件提供的评标标准、方法对所有投标文件的全部内容独立完成评审。评标过程中不得改变招标文件中规定的评标标准、方法和中标条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评标委员会及其成员在评标过程中应当遵守下列规定：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（一）协助、配合有关行政监督部门的监督、检查，发现违规违纪情况应及时向相关行政监督部门反映；</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（二）不得偏离评标办法发表倾向性、诱导性意见；</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（三）评标成员不得对其他成员的评审意见施加影响；</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（四）不得将投标文件擅自带离评标现场；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（五）不得无故中途退出评标；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（六）不得复印、拍照或带走与招标项目评标内容有关的资料；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（七）及时查询投标人是否为失信被执行人，对属于失信被执行人的投标活动依法予以限制。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评标程序一般分为初步评审、详细评审、推荐中标候选人与定标。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初步评审：评标委员会根据招标文件要求对所有投标文件的符合性、响应性和投标人资格进行审查，确定有效投标人进入详细评审。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详细评审：评标委员会根据招标文件规定的评标标准、方法，对有效投标人的技术标、商务标作进一步的评审、比较、量化评分，确定有效投标人的得分排名顺序。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推荐中标候选人与定标：评标结束后，评标委员会向招标人提交评标报告，推荐中标候选人名单（或经授权直接确定中标人）。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评标委员会按照下列程序对投标文件进行初步评审：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（一）通过交易场所互联网登录信用中国网、海南省建筑市场监管公共服务平台查询、核实投标人失信等相关信息；</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（二）根据招标文件要求对投标人资格和投标文件的符合性、响应性进行评审；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（三）检查投标报价是否存在计算错误，对投标报价中存在的计算错误进行修正，并书面要求投标人书面确认修正结果；</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（四）对投标文件中含义不明确、同类问题表述不一致或有明显文字错误等内容,书面要求投标人及时作出必要的澄清、说明或者补正。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评标委员会不得接受投标人的主动澄清、说明或者补正。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color w:val="auto"/>
          <w:sz w:val="32"/>
          <w:szCs w:val="32"/>
        </w:rPr>
        <w:t xml:space="preserve">   评标委员会按照下列原则对投标报价中存在的计算错误进行修正：</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（一）用数字表示的数额与用文字表示的数额不一致时，以文字数额为准；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（二）单价与工程量的乘积与合价不一致时，以单价为准；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（三）单价有明显的小数点错位，应以合价为准，并修正单价；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（四）当各单项合价相加与其合计金额或总价不一致时，以各单项合价为准，并修正合计金额或总价；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（五）招标文件中提供的工程量清单项目，投标人未填报单价或价格的，视为此项费用不计取或已分摊在工程量清单中其他已标价的相关清单的单价或价格之中。</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评标委员会对投标报价修正后，应提交相应的投标人确认。投标人对修正的投标报价确认后，该报价为投标人的最终投标报价，对投标人产生约束力。</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投标文件有下列情形之一的，评标委员会应当否决其投标：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（一）投标文件中的投标函未加盖投标人的公章及法定代表人印章 (签字)或企业法定代表人的委托代理人没有合法、有效的委托书原件及委托代理人印章(签字)的；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（二）未按规定的格式填写，内容不全或关键内容字迹模糊、无法辨认，造成投标文件实质上不响应招标文件的要求，或导致无法对投标文件的实质性内容进行评审的；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（三）投标人递交两个及以上不同的投标文件，或在同一投标文件中对同一招标项目有两个或多个报价，但未在投标文件中声明哪个有效的；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（四）组成联合体投标的，投标文件未附联合体协议或联合体协议不符合有关规定的；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（五）投标人资格条件不符合国家有关规定或招标文件要求的；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（六）投标人名称或组织结构与资格审查时不一致的；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（七）投标报价高于招标控制价或低于工程成本的；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（八）投标报价中暂估价、暂列金额及专业工程造价与招标文件规定不一致的；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（九）投标报价中不可竞争费用项目或费率计算或计算基础与招标文件不一致的；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（十）投标报价中最终体现的人工工资单价低于省住房和城乡建设厅发布的人工工资单价的；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（十一）工程量清单中项目编码、项目名称、项目特征、计量单位、工程数量与招标文件提供的不一致的；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（十二）没有按照招标文件要求提供投标保证金或提供的投标保证金不符合有关规定的；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（十三）投标文件载明的招标项目完成期限超过招标文件规定的期限的；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（十四）施工项目部关键岗位人员数量低于《海南省建筑工程施工现场关键岗位人员配备和在岗履职管理办法》规定标准的；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（十五）明显不符合招标文件规定的技术要求和标准的；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（十六）投标文件附有招标人不能接受的条件或招标人不能接受的工程验收、计量、价款结算和支付办法的，或对合同中约定的招标人的权利和投标人的义务方面造成重大的限制的；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（十七）未按招标文件要求提供电子投标文件，或投标文件未能解密且按照招标文件明确的投标文件解密失败的补救方案补救不成功的；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（十八）不同的投标文件以及投标文件制作过程出现了评标委员会认为不应当雷同的情况的；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（十九）以他人的名义投标、串通投标、以行贿手段谋取中标或以其他弄虚作假方式投标的；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（二十）投标文件中未提供《海南省建筑企业诚信档案手册》的；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（二十一）被有关行政监督部门依法取消参加依法必须进行招标的项目的投标资格的或失信被列入限制投标资格的；</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（二十二）法律、法规规定的其他应当否决其投标情形。</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评标委员会在完成初步评审所有内容后，应当作出初步评审结论，确定有效投标人并按照招标文件规定的评标标准、方法对有效投标人的技术标和商务标进行详细评审。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评标委员会对投标人作否决投标处理的，应当在宣布中标候选人之前告知否决投标原因。如投标人有异议，评标委员会可要求其补充说明材料，复查后决定是否采纳并作出最终结论。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评标委员会完成所有评标工作后，应当向招标人提交书面评标报告。</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评标报告应当包括以下内容：</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（一）基本情况和数据表；</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（二）评标委员会成员名单；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（三）开标记录；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（四）投标人一览表；</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（五）否决投标情况说明；</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（六）评标标准、评标办法或评标因素一览表；</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（七）经评审的价格一览表（包括评标委员会在评标过程中所形成的所有记载：评标结果、结论表格、说明、记录等文件）；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（八）经评审的投标人排序；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（九）推荐的中标候选人名单与签订合同前需处理的事宜；</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（十）澄清、说明或补正等事项。</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评标报告由评标委员会全体成员签字。对评标结论有异议的，评标委员会成员可以书面方式阐述其不同意见和理由，否则视为同意评标结论。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第三十九条</w:t>
      </w:r>
      <w:r>
        <w:rPr>
          <w:rFonts w:hint="eastAsia" w:ascii="仿宋_GB2312" w:hAnsi="仿宋_GB2312" w:eastAsia="仿宋_GB2312" w:cs="仿宋_GB2312"/>
          <w:color w:val="auto"/>
          <w:sz w:val="32"/>
          <w:szCs w:val="32"/>
        </w:rPr>
        <w:t xml:space="preserve">   招标人根据评标委员会提出的书面评标报告和推荐的中标候选人确定中标人。招标人也可以授权评标委员会直接确定中标人，或者在招标文件中规定排名第一的中标候选人为中标人，排名第一的中标候选人放弃中标、因不可抗力不能履行合同、不能按照招标文件要求提交履约保证金，或者被查实存在影响中标结果的违法行为等情况，不符合中标条件的，招标人可以按照评标委员会提出的中标候选人名单排序依次确定其他中标候选人为中标人，也可以重新招标。</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招标人应当自收到评标报告之日起3日内公示中标候选人，公示期不得少于3日。</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w:t>
      </w:r>
      <w:r>
        <w:rPr>
          <w:rFonts w:hint="eastAsia" w:ascii="仿宋_GB2312" w:hAnsi="仿宋_GB2312" w:eastAsia="仿宋_GB2312" w:cs="仿宋_GB2312"/>
          <w:color w:val="auto"/>
          <w:sz w:val="32"/>
          <w:szCs w:val="32"/>
        </w:rPr>
        <w:t xml:space="preserve">   评标活动及其参加人员应当接受相关行政监督部门的监督管理。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第四十一条</w:t>
      </w:r>
      <w:r>
        <w:rPr>
          <w:rFonts w:hint="eastAsia" w:ascii="仿宋_GB2312" w:hAnsi="仿宋_GB2312" w:eastAsia="仿宋_GB2312" w:cs="仿宋_GB2312"/>
          <w:color w:val="auto"/>
          <w:sz w:val="32"/>
          <w:szCs w:val="32"/>
        </w:rPr>
        <w:t xml:space="preserve">   招标文件要求中标人提交履约保证金，中标人应当提交，履约保证金应鼓励采用银行保函等形式；拒绝提交的，视为放弃中标项目。招标人要求中标人提供履约保证金或其他形式履约担保的，招标人应当同时向中标人提供工程款支付担保。</w:t>
      </w:r>
    </w:p>
    <w:p>
      <w:pPr>
        <w:spacing w:line="540" w:lineRule="exact"/>
        <w:ind w:firstLine="480"/>
        <w:jc w:val="center"/>
        <w:rPr>
          <w:rFonts w:hint="eastAsia" w:ascii="黑体" w:hAnsi="黑体" w:eastAsia="黑体" w:cs="黑体"/>
          <w:color w:val="auto"/>
          <w:sz w:val="32"/>
          <w:szCs w:val="32"/>
        </w:rPr>
      </w:pPr>
      <w:r>
        <w:rPr>
          <w:rFonts w:hint="eastAsia" w:ascii="黑体" w:hAnsi="黑体" w:eastAsia="黑体" w:cs="黑体"/>
          <w:color w:val="auto"/>
          <w:sz w:val="32"/>
          <w:szCs w:val="32"/>
        </w:rPr>
        <w:t>第五章   附  则</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第四十二条</w:t>
      </w:r>
      <w:r>
        <w:rPr>
          <w:rFonts w:hint="eastAsia" w:ascii="仿宋_GB2312" w:hAnsi="仿宋_GB2312" w:eastAsia="仿宋_GB2312" w:cs="仿宋_GB2312"/>
          <w:color w:val="auto"/>
          <w:sz w:val="32"/>
          <w:szCs w:val="32"/>
        </w:rPr>
        <w:t xml:space="preserve">   招标项目所在地建设行政主管部门应当依据相关法律、法规及本办法规定加大对施工现场的检查，加强标后监管力度，把标后监管的各项措施落到实处，实现建筑市场和项目施工现场的联动监管。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第四十三条</w:t>
      </w:r>
      <w:r>
        <w:rPr>
          <w:rFonts w:hint="eastAsia" w:ascii="仿宋_GB2312" w:hAnsi="仿宋_GB2312" w:eastAsia="仿宋_GB2312" w:cs="仿宋_GB2312"/>
          <w:color w:val="auto"/>
          <w:sz w:val="32"/>
          <w:szCs w:val="32"/>
        </w:rPr>
        <w:t xml:space="preserve">   省住房和城乡建设厅、省发展和改革委员会等部门应当根据国家有关规定，建立联合检查制度，对依法招标项目及其标后管理进行定期检查或不定期抽查，严厉打击违法违规行为。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第四十四条</w:t>
      </w:r>
      <w:r>
        <w:rPr>
          <w:rFonts w:hint="eastAsia" w:ascii="仿宋_GB2312" w:hAnsi="仿宋_GB2312" w:eastAsia="仿宋_GB2312" w:cs="仿宋_GB2312"/>
          <w:color w:val="auto"/>
          <w:sz w:val="32"/>
          <w:szCs w:val="32"/>
        </w:rPr>
        <w:t xml:space="preserve">   本办法适用于采用计算机辅助评标的房屋建筑和市政工程的招标投标活动，由省住房和城乡建设厅负责解释。</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第四十五条</w:t>
      </w:r>
      <w:r>
        <w:rPr>
          <w:rFonts w:hint="eastAsia" w:ascii="仿宋_GB2312" w:hAnsi="仿宋_GB2312" w:eastAsia="仿宋_GB2312" w:cs="仿宋_GB2312"/>
          <w:color w:val="auto"/>
          <w:sz w:val="32"/>
          <w:szCs w:val="32"/>
        </w:rPr>
        <w:t xml:space="preserve">   本办法自2018年3月1日起施行，《海南省房屋建筑和市政工程工程量清单招标投标评标办法》（琼建招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116号）同时废止。</w:t>
      </w:r>
    </w:p>
    <w:p>
      <w:pPr>
        <w:spacing w:line="540" w:lineRule="exact"/>
        <w:ind w:firstLine="480"/>
        <w:jc w:val="left"/>
        <w:rPr>
          <w:rFonts w:hint="eastAsia" w:ascii="仿宋_GB2312" w:hAnsi="仿宋_GB2312" w:eastAsia="仿宋_GB2312" w:cs="仿宋_GB2312"/>
          <w:color w:val="auto"/>
          <w:sz w:val="32"/>
          <w:szCs w:val="32"/>
        </w:rPr>
      </w:pPr>
    </w:p>
    <w:p>
      <w:pPr>
        <w:spacing w:line="540" w:lineRule="exact"/>
        <w:ind w:firstLine="48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综合评估法评分细则</w:t>
      </w:r>
    </w:p>
    <w:p>
      <w:pPr>
        <w:spacing w:line="540" w:lineRule="exact"/>
        <w:ind w:firstLine="48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2.工程成本参考计算表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4"/>
        <w:spacing w:line="540" w:lineRule="exact"/>
        <w:jc w:val="left"/>
        <w:rPr>
          <w:rFonts w:hint="eastAsia" w:ascii="仿宋_GB2312" w:hAnsi="仿宋_GB2312" w:eastAsia="黑体" w:cs="仿宋_GB2312"/>
          <w:color w:val="auto"/>
          <w:sz w:val="32"/>
          <w:szCs w:val="32"/>
          <w:lang w:val="en-US" w:eastAsia="zh-CN"/>
        </w:rPr>
      </w:pPr>
      <w:bookmarkStart w:id="4" w:name="_Toc123720444"/>
      <w:r>
        <w:rPr>
          <w:rFonts w:hint="eastAsia" w:ascii="黑体" w:hAnsi="黑体" w:eastAsia="黑体" w:cs="黑体"/>
          <w:b w:val="0"/>
          <w:bCs w:val="0"/>
          <w:color w:val="auto"/>
          <w:sz w:val="32"/>
          <w:szCs w:val="32"/>
        </w:rPr>
        <w:t>附件</w:t>
      </w:r>
      <w:r>
        <w:rPr>
          <w:rFonts w:hint="eastAsia" w:ascii="黑体" w:hAnsi="黑体" w:cs="黑体"/>
          <w:b w:val="0"/>
          <w:bCs w:val="0"/>
          <w:color w:val="auto"/>
          <w:sz w:val="32"/>
          <w:szCs w:val="32"/>
          <w:lang w:val="en-US" w:eastAsia="zh-CN"/>
        </w:rPr>
        <w:t>1</w:t>
      </w:r>
    </w:p>
    <w:p>
      <w:pPr>
        <w:pStyle w:val="4"/>
        <w:spacing w:line="54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综合评估法</w:t>
      </w:r>
      <w:bookmarkEnd w:id="4"/>
      <w:r>
        <w:rPr>
          <w:rFonts w:hint="eastAsia" w:ascii="方正小标宋简体" w:hAnsi="方正小标宋简体" w:eastAsia="方正小标宋简体" w:cs="方正小标宋简体"/>
          <w:b w:val="0"/>
          <w:bCs w:val="0"/>
          <w:color w:val="auto"/>
          <w:sz w:val="44"/>
          <w:szCs w:val="44"/>
          <w:lang w:eastAsia="zh-CN"/>
        </w:rPr>
        <w:t>评分细则</w:t>
      </w:r>
    </w:p>
    <w:p>
      <w:pPr>
        <w:spacing w:line="540" w:lineRule="exact"/>
        <w:ind w:firstLine="48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一、技术标主要评审要素（30～50分）（附件）</w:t>
      </w:r>
    </w:p>
    <w:p>
      <w:pPr>
        <w:spacing w:line="540" w:lineRule="exact"/>
        <w:ind w:firstLine="480"/>
        <w:jc w:val="left"/>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（一）施工组织设计（权重14%～26%，</w:t>
      </w:r>
      <w:r>
        <w:rPr>
          <w:rFonts w:hint="eastAsia" w:ascii="楷体" w:hAnsi="楷体" w:eastAsia="楷体" w:cs="楷体"/>
          <w:b w:val="0"/>
          <w:color w:val="auto"/>
          <w:sz w:val="32"/>
          <w:szCs w:val="32"/>
        </w:rPr>
        <w:t>按总分100分计</w:t>
      </w:r>
      <w:r>
        <w:rPr>
          <w:rFonts w:hint="eastAsia" w:ascii="楷体" w:hAnsi="楷体" w:eastAsia="楷体" w:cs="楷体"/>
          <w:color w:val="auto"/>
          <w:sz w:val="32"/>
          <w:szCs w:val="32"/>
        </w:rPr>
        <w:t>）</w:t>
      </w:r>
    </w:p>
    <w:p>
      <w:pPr>
        <w:spacing w:line="540" w:lineRule="exact"/>
        <w:ind w:firstLine="48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 未应用BIM技术的项目，应包括以下几项基本内容：</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⑴主要施工方案（含工程特点、施工重点与难点及绿色施工）与技术措施（保障性住房项目投标时应有绿色建筑实施方案；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⑵质量管理体系与措施（含室内装饰装修、建筑防水方案）；</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⑶安全管理体系与措施；</w:t>
      </w:r>
    </w:p>
    <w:p>
      <w:pPr>
        <w:spacing w:line="540" w:lineRule="exact"/>
        <w:ind w:firstLine="48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⑷文明施工、环境保护管理体系及施工现场扬尘治理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建筑垃圾处理方案（含建筑垃圾减量化措施）；</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⑸施工总平面布置图（按规定须在施工现场安装远程视频监控系统的，应包含远程视频监控系统布置）；</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⑹施工总进度表与网络计划图；</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⑺拟投入的主要施工机械计划；</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⑻劳动力安排计划；</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⑼工期保证措施；</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⑽拟投入的主要物资计划；</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⑾施工组织设计的完整性。</w:t>
      </w:r>
    </w:p>
    <w:p>
      <w:pPr>
        <w:spacing w:line="540" w:lineRule="exact"/>
        <w:ind w:firstLine="48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 应用BIM技术的项目，应包括以下几项基本内容：</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⑴总体评价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⑵深化设计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⑶施工模拟</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⑷成本管理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⑸专项方案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含建筑垃圾减量化措施</w:t>
      </w:r>
      <w:r>
        <w:rPr>
          <w:rFonts w:hint="eastAsia" w:ascii="仿宋_GB2312" w:hAnsi="仿宋_GB2312" w:eastAsia="仿宋_GB2312" w:cs="仿宋_GB2312"/>
          <w:color w:val="auto"/>
          <w:sz w:val="32"/>
          <w:szCs w:val="32"/>
          <w:lang w:eastAsia="zh-CN"/>
        </w:rPr>
        <w:t>）</w:t>
      </w:r>
    </w:p>
    <w:p>
      <w:pPr>
        <w:spacing w:line="540" w:lineRule="exact"/>
        <w:ind w:firstLine="480"/>
        <w:jc w:val="left"/>
        <w:rPr>
          <w:rFonts w:hint="eastAsia" w:ascii="楷体" w:hAnsi="楷体" w:eastAsia="楷体" w:cs="楷体"/>
          <w:color w:val="auto"/>
          <w:sz w:val="32"/>
          <w:szCs w:val="32"/>
        </w:rPr>
      </w:pPr>
      <w:r>
        <w:rPr>
          <w:rFonts w:hint="eastAsia" w:ascii="楷体" w:hAnsi="楷体" w:eastAsia="楷体" w:cs="楷体"/>
          <w:color w:val="auto"/>
          <w:sz w:val="32"/>
          <w:szCs w:val="32"/>
        </w:rPr>
        <w:t>（二）</w:t>
      </w:r>
      <w:r>
        <w:rPr>
          <w:rFonts w:hint="eastAsia" w:ascii="楷体" w:hAnsi="楷体" w:eastAsia="楷体" w:cs="楷体"/>
          <w:b w:val="0"/>
          <w:color w:val="auto"/>
          <w:sz w:val="32"/>
          <w:szCs w:val="32"/>
        </w:rPr>
        <w:t>项目管理机构评审和评分细则</w:t>
      </w:r>
      <w:r>
        <w:rPr>
          <w:rFonts w:hint="eastAsia" w:ascii="楷体" w:hAnsi="楷体" w:eastAsia="楷体" w:cs="楷体"/>
          <w:color w:val="auto"/>
          <w:sz w:val="32"/>
          <w:szCs w:val="32"/>
        </w:rPr>
        <w:t>（6分）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根据招标文件中确定的评分标准、办法对项目负责人（建造师或如风景园林职称资格专业人员）进行评审和量化评分（6分）。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投标人企业法定代表人准时到场参加开标（4分）：招标控制价在8000万元（含8000万元）以上的房屋建筑和市政工程，3000万元（含3000万元）以上的专业工程，投标人企业法定代表人准时到场参加开标进行评审和量化评分。</w:t>
      </w:r>
    </w:p>
    <w:p>
      <w:pPr>
        <w:spacing w:line="540" w:lineRule="exact"/>
        <w:ind w:firstLine="480"/>
        <w:jc w:val="left"/>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（三）企业诚信评价的评审和评分细则（权重10%～18%，招标人在招标文件中确定）</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企业诚信评价等级评审（10～18分）：根据招标文件中确定的评分标准、办法对投标人在我省行政区域内的企业诚信评价等级进行评审和量化评分。</w:t>
      </w:r>
    </w:p>
    <w:p>
      <w:pPr>
        <w:spacing w:line="540" w:lineRule="exact"/>
        <w:ind w:firstLine="480"/>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（四）施工项目部关键岗位人员配备标准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二、商务标（50～70分）主要评审因素</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本办法商务标分值按总分值的50%～70％（50～70分）计算，其中工程量清单总报价（A）占分值为30～35分，分部分项工程量清单报价（B）占分值为10～18分，主要材料报价（C）占分值为10～17分。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（一）招标人未确定工程成本时的计算方法：</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工程量清单总报价（A）（总报价=修正后的投标价格-暂列金额-暂估价）（30～35分）：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计算平均值Pp：先剔除投标报价最高的20%家（有小数时按上限取整数以X表示）和最低的10%家（有小数时按上限取整数以Y表示），然后进行算术平均（剔除投标报价后的数量应等于计算算术平均的数量），计算得出投标人投标报价的平均值。</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①当n＞7时，Pp＝</w:t>
      </w:r>
      <w:r>
        <w:rPr>
          <w:rFonts w:hint="eastAsia" w:ascii="仿宋_GB2312" w:hAnsi="仿宋_GB2312" w:eastAsia="仿宋_GB2312" w:cs="仿宋_GB2312"/>
          <w:b w:val="0"/>
          <w:bCs w:val="0"/>
          <w:color w:val="auto"/>
          <w:kern w:val="0"/>
          <w:sz w:val="32"/>
          <w:szCs w:val="32"/>
        </w:rPr>
        <w:t>（∑Pi-</w:t>
      </w:r>
      <w:r>
        <w:rPr>
          <w:rFonts w:hint="eastAsia" w:ascii="仿宋_GB2312" w:hAnsi="仿宋_GB2312" w:eastAsia="仿宋_GB2312" w:cs="仿宋_GB2312"/>
          <w:color w:val="auto"/>
          <w:kern w:val="2"/>
          <w:position w:val="-28"/>
          <w:sz w:val="32"/>
          <w:szCs w:val="32"/>
          <w:lang w:val="en-US" w:eastAsia="zh-CN" w:bidi="ar-SA"/>
        </w:rPr>
        <w:object>
          <v:shape id="_x0000_i1027" o:spt="75" type="#_x0000_t75" style="height:35.35pt;width:45.9pt;" o:ole="t" filled="f" stroked="f" coordsize="21600,21600">
            <v:path/>
            <v:fill on="f" focussize="0,0"/>
            <v:stroke on="f"/>
            <v:imagedata r:id="rId11" o:title=""/>
            <o:lock v:ext="edit" grouping="f" rotation="f" text="f" aspectratio="t"/>
            <w10:wrap type="none"/>
            <w10:anchorlock/>
          </v:shape>
          <o:OLEObject Type="Embed" ProgID="Equation.KSEE3" ShapeID="_x0000_i1027" DrawAspect="Content" ObjectID="_1468075725" r:id="rId10">
            <o:LockedField>false</o:LockedField>
          </o:OLEObject>
        </w:objec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kern w:val="2"/>
          <w:position w:val="-28"/>
          <w:sz w:val="32"/>
          <w:szCs w:val="32"/>
          <w:lang w:val="en-US" w:eastAsia="zh-CN" w:bidi="ar-SA"/>
        </w:rPr>
        <w:object>
          <v:shape id="_x0000_i1028" o:spt="75" type="#_x0000_t75" style="height:35.35pt;width:44pt;" o:ole="t" filled="f" stroked="f" coordsize="21600,21600">
            <v:path/>
            <v:fill on="f" focussize="0,0"/>
            <v:stroke on="f"/>
            <v:imagedata r:id="rId13" o:title=""/>
            <o:lock v:ext="edit" grouping="f" rotation="f" text="f" aspectratio="t"/>
            <w10:wrap type="none"/>
            <w10:anchorlock/>
          </v:shape>
          <o:OLEObject Type="Embed" ProgID="Equation.KSEE3" ShapeID="_x0000_i1028" DrawAspect="Content" ObjectID="_1468075726" r:id="rId12">
            <o:LockedField>false</o:LockedField>
          </o:OLEObject>
        </w:objec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rPr>
        <w:t>/(n-X-Y)；</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②当n≤7时，Pp＝∑Pi/n</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⑵计算评标基准价Pg</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Pg=Pp×(1-Fg％)</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Fg为投标竞争率。投标竞争率由招标人在招标文件中确定。投标竞争率可参照以下计取：房屋建筑工程为（1.50～3.20）；市政工程取值为（2.60～4.20）；专业工程取值为（2.20～4.50）；绿化种植工程取值为（3.00～6.50）；园建工程或综合园林工程取值为（1.50～3.20）。</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⑶计算各投标人工程量清单总报价（A）得分。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评标基准价Pg比较所有投标人的投标报价，将投标报价和评标基准价Pg差的绝对值从低至高进行排列，取前15家（不足15家时全部计算）进行评审。将进行评审的投标报价与评标基准价Pg进行相比，计算工程量清单总报价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①报价每高于评标基准价Pg的1%（含1%）扣1分。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以满分30分为例，工程量清单总报价得分A的计分公式为：A＝30－[（Pi- Pg）/ Pg]×100×1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②报价每低于评标基准价Pg的1%（含1%）扣0.5分。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以满分30分为例，工程量清单总报价得分A的计分公式为：A＝30－[（Pg- Pi）/ Pg]×100×0.5</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注：n为投标企业数量；Pmax为最高投标报价；Pmin为最低投标报价；Pi为企业投标报价。</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分部分项工程量清单报价（B）得分计算方法（10～18分）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先按照各分部工程造价占招标控制价的比重从高至低确定5个分部工程，再从5个分部工程中抽取分部分项工程量清单综合合价占该分部工程造价的比重从高至低分别取5、4、3、2、1共15项工程量清单作为评审内容。5个确定的分部工程工程量清单不足以上规定数量的，按实际工程量清单列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标准以评标基准价Pg与招标控制价计算的下浮率修正招标控制价中对应的工程量清单综合单价，再以修正后的工程量清单综合单价的-10%～+20%范围内作为评审基准（其中综合单价中的人工单价不得低于相应时期省住房和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根据评审的5个分部工程中工程量清单的数量确定每条工程量清单的分值）。投标人分部分项工程量清单综合单价报价每高于或低于该清单项目综合单价评标基准价一定幅度扣相应分数，直到扣完所占分值为止（投标报价每高于评标基准价1%（含1%）扣0.2分，投标报价每低于评标基准价1%（含1%）扣0.1分）。以每条清单1分为例，计算每条清单项目的得分b的公式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当投标人报价 &gt;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b＝1－[（报价- 评标基准价）/ 评标基准价]×100×0.2。</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当投标人报价 &lt;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b＝1－[（评标基准价-报价）/评标基准价]×100×0.1。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分部分项工程量清单报价（B）得分：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B=∑b </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主要材料报价（C）得分计算方法（10～17分）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材料价格的评审以评标基准价Pg与招标控制价计算的下浮率修正招标控制价中对应的主要材料价格，再以修正后的主要材料价格的-10%～+20%范围内作为评审基准。评审的15项主要材料中如投标企业有8项超过该评审基准的，主要材料报价得分按0分计算。不足8项时，每项均按0分处理，且该主要材料不得进入计算算术平均值的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价一定幅度时扣相应分数，直到扣完所占分值为止（投标人主要材料单价每高于评标基准价1%（含1%）扣0.2分，投标人主要材料单价每低于评标基准价1%（含1%）扣0.1分）。以每条主要材料1分为例，计算每条主要材料的得分c的公式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当投标人主要材料单价 &gt;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c＝1－[（投标人主要材料单价-评标基准价）/ 评标基准价]×100×0.2。</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当投标人主要材料单价 &lt;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c＝1－[（评标基准价-投标人主要材料单价）/评标基准价]×100×0.1。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主要材料报价（C）得分：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C=∑c </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招标人确定工程成本时计算方法（应用BIM技术的工程项目除外）：工程成本由招标人（招标代理机构或建设单位）在开标前3日内组织与该工程专业相应的注册造价工程师和工程技术人员按照工程计价程序、方法和依据及招标工程量清单并结合工程特点参考</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工程成本参考计算表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中的</w:t>
      </w:r>
      <w:r>
        <w:rPr>
          <w:rFonts w:hint="eastAsia" w:ascii="仿宋_GB2312" w:hAnsi="仿宋_GB2312" w:eastAsia="仿宋_GB2312" w:cs="仿宋_GB2312"/>
          <w:color w:val="auto"/>
          <w:sz w:val="32"/>
          <w:szCs w:val="32"/>
        </w:rPr>
        <w:t>计算方式予以确定，工程成本由招标人保密并在开标时给予公布。</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工程量清单总报价（A）（总报价=修正后的投标价格-暂列金额-暂估价）（30～35分）：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委员会以工程成本作为最低投标报价的限制值，将大于或等于工程成本值的投标报价进行排列，从低至高取前15家（不足15家时全部计算）进行评审。以报价最低为最优报价Py，总报价（A）得满分，其余报价与最优报价Py相比，报价每高于最优报价Py的1%（含1%）扣1分，扣完为止。具体得分采用插入法计算。</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以满分30分为例，工程量清单总报价（A）得分的计算公式为：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A＝30－[（Pi- Py）/ Py]×100×1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分部分项工程量清单报价（B）得分计算方法（10～18分）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先按照各分部工程造价占招标控制价的比重从高至低确定5个分部工程，再从5个分部工程中抽取分部分项工程量清单综合合价占该分部工程造价的比重从高至低分别抽取5、4、3、2、1共15项工程量清单作为评审内容。5个确定的分部工程工程量清单不足以上规定数量的，按实际工程量清单列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标准以最优报价Py与招标控制价计算的下浮率修正招标控制价中对应的工程量清单综合单价，再以修正后的工程量清单综合单价的-5%～+25%范围内作为评审基准（其中综合单价中的人工单价不得低于相应时期省住房和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根据评审的5个分部工程中工程量清单的数量确定每条工程量清单的分值）。投标人分部分项工程量清单综合单价报价每高于或低于该清单项目综合单价评标基准价一定幅度扣相应分数，直到扣完所占分值为止（投标报价每高于评标基准价1%（含1%）扣0.2分，投标报价每低于评标基准价1%（含1%）扣0.1分）。以每条清单1分为例，计算每条清单项目的得分b的公式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当投标人报价 &gt;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b＝1－[（报价- 评标基准价）/ 评标基准价]×100×0.2。</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当投标人报价 &lt;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b＝1－[（评标基准价-报价）/评标基准价]×100×0.1。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分部分项工程量清单报价（B）得分：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B=∑b </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主要材料报价（C）得分计算方法（10～17分）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材料价格的评审以最优报价Py与招标控制价计算的下浮率修正招标控制价中对应的主要材料价格，再以修正后的主要材料价格的-5%～+25%范围内作为评审基准。评审的15项主要材料中如投标企业有8项超过该评审基准的，主要材料报价得分按0分计算。不足8项时，每项均按0分处理，且该主要材料不得进入计算算术平均值的评审。</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价一定幅度时扣相应分数，直到扣完所占分值为止（投标人主要材料单价每高于评标基准价1%（含1%）扣0.2分，投标人主要材料单价每低于评标基准价1%（含1%）扣0.1分）。以每条主要材料1分为例，计算每条主要材料的得分c的公式为：</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当投标人主要材料单价 &gt;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c＝1－[（投标人主要材料单价-评标基准价）/ 评标基准价]×100×0.2。</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当投标人主要材料单价 &lt; 评标基准价时：</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c＝1－[（评标基准价-投标人主要材料单价）/评标基准价]×100×0.1。</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主要材料报价（C）得分：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C=∑c </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（四）商务标总得分=A+B+C</w:t>
      </w:r>
    </w:p>
    <w:p>
      <w:pPr>
        <w:spacing w:line="540" w:lineRule="exact"/>
        <w:ind w:firstLine="480"/>
        <w:jc w:val="left"/>
        <w:rPr>
          <w:rFonts w:hint="eastAsia" w:ascii="黑体" w:hAnsi="黑体" w:eastAsia="黑体" w:cs="黑体"/>
          <w:color w:val="auto"/>
          <w:sz w:val="32"/>
          <w:szCs w:val="32"/>
        </w:rPr>
      </w:pPr>
      <w:r>
        <w:rPr>
          <w:rFonts w:hint="eastAsia" w:ascii="黑体" w:hAnsi="黑体" w:eastAsia="黑体" w:cs="黑体"/>
          <w:color w:val="auto"/>
          <w:sz w:val="32"/>
          <w:szCs w:val="32"/>
        </w:rPr>
        <w:t>三、评审结果</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（一）计算投标人总得分=技术标得分+商务标得分；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（二）各项计算、评分结果均按四舍五入方法精确到小数点后2位；</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（三）各投标人的最终得分为各评委所评定分数中，去掉一个最高分和一个最低分后的算术平均值。如评委为5人则不去掉最高分和最低分；</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（四）按投标人得分由高到低排序；</w:t>
      </w:r>
    </w:p>
    <w:p>
      <w:pPr>
        <w:spacing w:line="54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（五）如排名第一至第三的投标人的投标文件异常一致或投标报价呈规律性差异时，评标委员会应再次复核投标人的投标文件；</w:t>
      </w:r>
    </w:p>
    <w:p>
      <w:pPr>
        <w:spacing w:line="540" w:lineRule="exact"/>
        <w:ind w:firstLine="480"/>
        <w:jc w:val="left"/>
        <w:rPr>
          <w:rFonts w:hint="eastAsia"/>
          <w:color w:val="auto"/>
        </w:rPr>
      </w:pPr>
      <w:r>
        <w:rPr>
          <w:rFonts w:hint="eastAsia" w:ascii="仿宋_GB2312" w:hAnsi="仿宋_GB2312" w:eastAsia="仿宋_GB2312" w:cs="仿宋_GB2312"/>
          <w:color w:val="auto"/>
          <w:sz w:val="32"/>
          <w:szCs w:val="32"/>
        </w:rPr>
        <w:t>（六）推荐中标候选人。评标委员会按有效投标人得分由高至低排序，排序第一的有效投标人推荐为第一中标候选人</w:t>
      </w:r>
      <w:r>
        <w:rPr>
          <w:rFonts w:hint="eastAsia"/>
          <w:color w:val="auto"/>
        </w:rPr>
        <w:t>。</w:t>
      </w:r>
    </w:p>
    <w:p>
      <w:pPr>
        <w:spacing w:line="540" w:lineRule="exact"/>
        <w:ind w:firstLine="480"/>
        <w:jc w:val="left"/>
        <w:rPr>
          <w:rFonts w:hint="eastAsia" w:ascii="仿宋_GB2312" w:hAnsi="仿宋_GB2312" w:eastAsia="仿宋_GB2312" w:cs="仿宋_GB2312"/>
          <w:color w:val="auto"/>
          <w:sz w:val="32"/>
          <w:szCs w:val="32"/>
        </w:rPr>
      </w:pPr>
    </w:p>
    <w:p>
      <w:pPr>
        <w:spacing w:line="540" w:lineRule="exact"/>
        <w:ind w:firstLine="48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附件：“一、技术标主要评审要素（30～50分）”</w:t>
      </w:r>
    </w:p>
    <w:p>
      <w:pPr>
        <w:spacing w:line="540" w:lineRule="exact"/>
        <w:ind w:firstLine="480"/>
        <w:jc w:val="left"/>
        <w:rPr>
          <w:rFonts w:hint="eastAsia"/>
          <w:color w:val="auto"/>
        </w:rPr>
      </w:pPr>
    </w:p>
    <w:p>
      <w:pPr>
        <w:spacing w:line="540" w:lineRule="exact"/>
        <w:ind w:firstLine="480"/>
        <w:jc w:val="left"/>
        <w:rPr>
          <w:color w:val="auto"/>
        </w:rPr>
        <w:sectPr>
          <w:headerReference r:id="rId5" w:type="default"/>
          <w:footerReference r:id="rId6" w:type="default"/>
          <w:pgSz w:w="11906" w:h="16838"/>
          <w:pgMar w:top="1440" w:right="1800" w:bottom="1440" w:left="1800" w:header="851" w:footer="992" w:gutter="0"/>
          <w:cols w:space="425" w:num="1"/>
          <w:docGrid w:type="lines" w:linePitch="326" w:charSpace="0"/>
        </w:sectPr>
      </w:pPr>
    </w:p>
    <w:p>
      <w:pPr>
        <w:spacing w:line="540" w:lineRule="exact"/>
        <w:ind w:firstLine="480"/>
        <w:jc w:val="left"/>
        <w:rPr>
          <w:color w:val="auto"/>
        </w:rPr>
      </w:pPr>
    </w:p>
    <w:p>
      <w:pPr>
        <w:widowControl/>
        <w:spacing w:line="540" w:lineRule="exact"/>
        <w:ind w:firstLine="0" w:firstLineChars="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w:t>
      </w:r>
    </w:p>
    <w:p>
      <w:pPr>
        <w:widowControl/>
        <w:spacing w:line="540" w:lineRule="exact"/>
        <w:ind w:firstLine="0" w:firstLineChars="0"/>
        <w:jc w:val="center"/>
        <w:rPr>
          <w:rFonts w:ascii="宋体" w:hAnsi="宋体" w:eastAsia="宋体"/>
          <w:b/>
          <w:color w:val="auto"/>
          <w:kern w:val="0"/>
          <w:sz w:val="32"/>
        </w:rPr>
      </w:pPr>
      <w:r>
        <w:rPr>
          <w:rFonts w:hint="eastAsia" w:ascii="宋体" w:hAnsi="宋体" w:eastAsia="宋体"/>
          <w:b/>
          <w:color w:val="auto"/>
          <w:kern w:val="0"/>
          <w:sz w:val="32"/>
          <w:lang w:eastAsia="zh-CN"/>
        </w:rPr>
        <w:t>一、</w:t>
      </w:r>
      <w:r>
        <w:rPr>
          <w:rFonts w:hint="eastAsia" w:ascii="宋体" w:hAnsi="宋体" w:eastAsia="宋体"/>
          <w:b/>
          <w:color w:val="auto"/>
          <w:kern w:val="0"/>
          <w:sz w:val="32"/>
        </w:rPr>
        <w:t>技术标主要评审要素（30～50分）</w:t>
      </w:r>
    </w:p>
    <w:p>
      <w:pPr>
        <w:pStyle w:val="5"/>
        <w:spacing w:line="540" w:lineRule="exact"/>
        <w:ind w:firstLine="640"/>
        <w:jc w:val="center"/>
        <w:rPr>
          <w:rFonts w:ascii="黑体" w:hAnsi="黑体" w:eastAsia="黑体"/>
          <w:b w:val="0"/>
          <w:color w:val="auto"/>
          <w:sz w:val="32"/>
          <w:szCs w:val="32"/>
        </w:rPr>
      </w:pPr>
      <w:r>
        <w:rPr>
          <w:rFonts w:hint="eastAsia" w:ascii="楷体" w:hAnsi="楷体" w:eastAsia="楷体" w:cs="楷体"/>
          <w:b w:val="0"/>
          <w:color w:val="auto"/>
          <w:sz w:val="32"/>
          <w:szCs w:val="32"/>
        </w:rPr>
        <w:t>（一）施工组织设计（权重14%～26%，按总分100分计）</w:t>
      </w:r>
    </w:p>
    <w:p>
      <w:pPr>
        <w:spacing w:line="540" w:lineRule="exact"/>
        <w:ind w:firstLine="0" w:firstLineChars="0"/>
        <w:jc w:val="center"/>
        <w:rPr>
          <w:rFonts w:ascii="方正小标宋简体" w:hAnsi="方正小标宋简体" w:eastAsia="方正小标宋简体" w:cs="方正小标宋简体"/>
          <w:color w:val="auto"/>
          <w:kern w:val="0"/>
          <w:sz w:val="30"/>
          <w:szCs w:val="36"/>
        </w:rPr>
      </w:pPr>
      <w:r>
        <w:rPr>
          <w:rFonts w:hint="eastAsia" w:ascii="方正小标宋简体" w:hAnsi="方正小标宋简体" w:eastAsia="方正小标宋简体" w:cs="方正小标宋简体"/>
          <w:color w:val="auto"/>
          <w:kern w:val="0"/>
          <w:sz w:val="30"/>
          <w:szCs w:val="21"/>
        </w:rPr>
        <w:t>1.1  未应用BIM技术的项目施工组织设计</w:t>
      </w:r>
      <w:r>
        <w:rPr>
          <w:rFonts w:hint="eastAsia" w:ascii="方正小标宋简体" w:hAnsi="方正小标宋简体" w:eastAsia="方正小标宋简体" w:cs="方正小标宋简体"/>
          <w:color w:val="auto"/>
          <w:sz w:val="30"/>
        </w:rPr>
        <w:t>评审和评分细则</w:t>
      </w:r>
    </w:p>
    <w:tbl>
      <w:tblPr>
        <w:tblStyle w:val="27"/>
        <w:tblW w:w="1488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709"/>
        <w:gridCol w:w="1559"/>
        <w:gridCol w:w="8930"/>
        <w:gridCol w:w="709"/>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68"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序号</w:t>
            </w:r>
          </w:p>
        </w:tc>
        <w:tc>
          <w:tcPr>
            <w:tcW w:w="1276" w:type="dxa"/>
            <w:vAlign w:val="center"/>
          </w:tcPr>
          <w:p>
            <w:pPr>
              <w:spacing w:line="540" w:lineRule="exact"/>
              <w:ind w:firstLine="199" w:firstLineChars="83"/>
              <w:rPr>
                <w:rFonts w:asciiTheme="minorEastAsia" w:hAnsiTheme="minorEastAsia"/>
                <w:bCs/>
                <w:color w:val="auto"/>
                <w:szCs w:val="24"/>
              </w:rPr>
            </w:pPr>
            <w:r>
              <w:rPr>
                <w:rFonts w:hint="eastAsia" w:asciiTheme="minorEastAsia" w:hAnsiTheme="minorEastAsia"/>
                <w:bCs/>
                <w:color w:val="auto"/>
                <w:szCs w:val="24"/>
              </w:rPr>
              <w:t>项目</w:t>
            </w:r>
          </w:p>
        </w:tc>
        <w:tc>
          <w:tcPr>
            <w:tcW w:w="709"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得分</w:t>
            </w:r>
          </w:p>
        </w:tc>
        <w:tc>
          <w:tcPr>
            <w:tcW w:w="1559" w:type="dxa"/>
            <w:vAlign w:val="center"/>
          </w:tcPr>
          <w:p>
            <w:pPr>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等级</w:t>
            </w:r>
          </w:p>
        </w:tc>
        <w:tc>
          <w:tcPr>
            <w:tcW w:w="8930" w:type="dxa"/>
            <w:vAlign w:val="center"/>
          </w:tcPr>
          <w:p>
            <w:pPr>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评审标准</w:t>
            </w:r>
          </w:p>
        </w:tc>
        <w:tc>
          <w:tcPr>
            <w:tcW w:w="709"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评审</w:t>
            </w:r>
          </w:p>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结果</w:t>
            </w:r>
          </w:p>
        </w:tc>
        <w:tc>
          <w:tcPr>
            <w:tcW w:w="709"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原因</w:t>
            </w:r>
          </w:p>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说明</w:t>
            </w:r>
          </w:p>
        </w:tc>
        <w:tc>
          <w:tcPr>
            <w:tcW w:w="425"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1</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主要施工方案（含工程特点、施工重点与难点及绿色施工）与技术措施（保障性住房投标时应有绿色建筑实施方案）</w:t>
            </w:r>
          </w:p>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20</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对装配式建筑的PC构件搭接、灌浆细节及PC构件现场保护等提出科学、合理方案。（保障性住房投标时绿色建筑及绿色施工方案先进合理、经济适用、环保安全、节约资源，对推行起示范效应。）</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方案（含工程特点、施工重点与难点及绿色施工）总体安排合理，施工工艺、施工机械合理、可行；对施工难点有合理的建议，混凝土施工质量保证（含大体积混凝土质量、混凝土外观质量等）措施、方案经济、安全、基本可行；对装配式建筑的PC构件搭接、灌浆细节及PC构件现场保护等提出合理方案。（保障性住房投标时绿色建筑及绿色施工方案合理、经济适用、环保安全、节约资源。）</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方案（含工程特点、施工重点与难点及绿色施工）总体安排比较合理，运用合理的施工工艺、施工机械；对施工难点有建议，混凝土质量保证（含大体积混凝土质量、混凝土外观质量等）措施、方案基本可行；对装配式建筑的PC构件搭接、灌浆细节及PC构件现场保护等方案一般。（保障性住房投标时绿色建筑及绿色施工方案一般。）</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总体安排不合理，施工工艺、施工机械不合理；对施工难点无建议，混凝土质量保证（含大体积混凝土质量、混凝土外观质量等）措施、线形控制方案不可行；对装配式建筑的PC构件搭接、灌浆细节及PC构件现场保护等未提出方案。（保障性住房投标时无绿色建筑及绿色施工方案。）</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2</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质量管理体系与措施（含室内装饰装修、建筑防水方案）</w:t>
            </w:r>
          </w:p>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13</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组织机构形式合理，有完善的指挥系统、质量监控系统、联络协调系统，对项目提出先进、可行、具体的保证措施，室内装饰装修符合《住宅室内装饰装修管理办法》、</w:t>
            </w:r>
            <w:r>
              <w:rPr>
                <w:rStyle w:val="30"/>
                <w:rFonts w:hint="eastAsia" w:cs="宋体" w:asciiTheme="minorEastAsia" w:hAnsiTheme="minorEastAsia"/>
                <w:color w:val="auto"/>
                <w:szCs w:val="24"/>
              </w:rPr>
              <w:t>《海南省商品住宅全装修管理办法》等</w:t>
            </w:r>
            <w:r>
              <w:rPr>
                <w:rFonts w:hint="eastAsia" w:asciiTheme="minorEastAsia" w:hAnsiTheme="minorEastAsia"/>
                <w:color w:val="auto"/>
                <w:szCs w:val="24"/>
              </w:rPr>
              <w:t>规定，按照工程建设强制性标准和其他技术标准施工，不得偷工减料；建筑防水施工符合《建筑防水技术规范》要求，</w:t>
            </w:r>
            <w:r>
              <w:rPr>
                <w:rFonts w:asciiTheme="minorEastAsia" w:hAnsiTheme="minorEastAsia"/>
                <w:color w:val="auto"/>
                <w:szCs w:val="24"/>
              </w:rPr>
              <w:t>防水材料应有明确标志、产品执行标准、说明书、合格证</w:t>
            </w:r>
            <w:r>
              <w:rPr>
                <w:rFonts w:hint="eastAsia" w:asciiTheme="minorEastAsia" w:hAnsiTheme="minorEastAsia"/>
                <w:color w:val="auto"/>
                <w:szCs w:val="24"/>
              </w:rPr>
              <w:t>等，工程质量高于招标文件的质量要求。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组织机构形式合理，有完善的指挥系统、质量监控系统、联络协调系统，对项目提出先进、可行、具体的保证措施。室内装饰装修符合《住宅室内装饰装修管理办法》、</w:t>
            </w:r>
            <w:r>
              <w:rPr>
                <w:rStyle w:val="30"/>
                <w:rFonts w:hint="eastAsia" w:cs="宋体" w:asciiTheme="minorEastAsia" w:hAnsiTheme="minorEastAsia"/>
                <w:color w:val="auto"/>
                <w:szCs w:val="24"/>
              </w:rPr>
              <w:t>《海南省商品住宅全装修管理办法》等</w:t>
            </w:r>
            <w:r>
              <w:rPr>
                <w:rFonts w:hint="eastAsia" w:asciiTheme="minorEastAsia" w:hAnsiTheme="minorEastAsia"/>
                <w:color w:val="auto"/>
                <w:szCs w:val="24"/>
              </w:rPr>
              <w:t>规定，符合工程建设强制性标准，不得偷工减料；建筑防水施工符合《建筑防水技术规范》要求，</w:t>
            </w:r>
            <w:r>
              <w:rPr>
                <w:rFonts w:asciiTheme="minorEastAsia" w:hAnsiTheme="minorEastAsia"/>
                <w:color w:val="auto"/>
                <w:szCs w:val="24"/>
              </w:rPr>
              <w:t>防水材料应有明确标志、产品执行标准、说明书、合格证</w:t>
            </w:r>
            <w:r>
              <w:rPr>
                <w:rFonts w:hint="eastAsia" w:asciiTheme="minorEastAsia" w:hAnsiTheme="minorEastAsia"/>
                <w:color w:val="auto"/>
                <w:szCs w:val="24"/>
              </w:rPr>
              <w:t>等，工程质量满足招标文件的质量要求。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组织机构形式基本合理，指挥系统、质量监控系统、联络协调系统，具体措施可行。室内装饰装修符合《住宅室内装饰装修管理办法》、</w:t>
            </w:r>
            <w:r>
              <w:rPr>
                <w:rStyle w:val="30"/>
                <w:rFonts w:hint="eastAsia" w:cs="宋体" w:asciiTheme="minorEastAsia" w:hAnsiTheme="minorEastAsia"/>
                <w:color w:val="auto"/>
                <w:szCs w:val="24"/>
              </w:rPr>
              <w:t>《海南省商品住宅全装修管理办法》等</w:t>
            </w:r>
            <w:r>
              <w:rPr>
                <w:rFonts w:hint="eastAsia" w:asciiTheme="minorEastAsia" w:hAnsiTheme="minorEastAsia"/>
                <w:color w:val="auto"/>
                <w:szCs w:val="24"/>
              </w:rPr>
              <w:t>规定，符合工程建设强制性标准，不得偷工减料；建筑防水施工符合《建筑防水技术规范》要求，</w:t>
            </w:r>
            <w:r>
              <w:rPr>
                <w:rFonts w:asciiTheme="minorEastAsia" w:hAnsiTheme="minorEastAsia"/>
                <w:color w:val="auto"/>
                <w:szCs w:val="24"/>
              </w:rPr>
              <w:t>防水材料应有明确标志、产品执行标准、说明书、合格证</w:t>
            </w:r>
            <w:r>
              <w:rPr>
                <w:rFonts w:hint="eastAsia" w:asciiTheme="minorEastAsia" w:hAnsiTheme="minorEastAsia"/>
                <w:color w:val="auto"/>
                <w:szCs w:val="24"/>
              </w:rPr>
              <w:t>等，工程质量基本满足招标文件的质量要求。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组织机构形式不合理，有指挥系统、监控系统、联络协调系统不齐全，具体措施不可行，不能满足招标文件的质量要求。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3</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安全管理体系与措施</w:t>
            </w:r>
          </w:p>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11</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建立施工安全生产保障体系，施工安全生产目标、现场管理人员安全生产职责明确，针对工程特点、周边环境和施工工艺，确定危险源并制定详细、具体的防护措施，方案先进、可行。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建立施工安全生产保障体系，施工安全生产目标、现场管理人员安全生产职责明确，针对工程特点、周边环境和施工工艺，确定危险源并制定具体的防护措施，方案基本可行。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有施工安全生产保障体系，施工安全生产目标、现场管理人员安全生产职责不够明确，针对工程特点、周边环境和施工工艺，确定危险源并制定具体的防护措施，方案基本可行。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缺少施工安全生产保障体系，施工安全生产目标、现场管理人员安全生产职责不明确，缺少对工程特点、周边环境和施工工艺，确定危险源并制定具体的防护措施。</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4</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文明施工、环境保护管理体系及施工现场扬尘治理措施</w:t>
            </w:r>
            <w:r>
              <w:rPr>
                <w:rFonts w:hint="eastAsia" w:cs="宋体" w:asciiTheme="minorEastAsia" w:hAnsiTheme="minorEastAsia"/>
                <w:color w:val="auto"/>
                <w:kern w:val="0"/>
                <w:szCs w:val="24"/>
              </w:rPr>
              <w:t xml:space="preserve">  </w:t>
            </w:r>
            <w:r>
              <w:rPr>
                <w:rFonts w:hint="eastAsia" w:asciiTheme="minorEastAsia" w:hAnsiTheme="minorEastAsia"/>
                <w:color w:val="auto"/>
                <w:szCs w:val="24"/>
              </w:rPr>
              <w:t>【★】</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10</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针对项目实际情况，有先进、具体、完整、可行的措施，采用规范准确、清晰。创文明工地目标明确，临时设施、现场道路、</w:t>
            </w:r>
            <w:r>
              <w:rPr>
                <w:rFonts w:hint="eastAsia" w:asciiTheme="minorEastAsia" w:hAnsiTheme="minorEastAsia"/>
                <w:color w:val="auto"/>
                <w:szCs w:val="24"/>
                <w:lang w:val="en-US" w:eastAsia="zh-CN"/>
              </w:rPr>
              <w:t>建筑材料</w:t>
            </w:r>
            <w:r>
              <w:rPr>
                <w:rFonts w:hint="eastAsia" w:asciiTheme="minorEastAsia" w:hAnsiTheme="minorEastAsia"/>
                <w:color w:val="auto"/>
                <w:szCs w:val="24"/>
              </w:rPr>
              <w:t>堆放</w:t>
            </w:r>
            <w:r>
              <w:rPr>
                <w:rFonts w:hint="eastAsia" w:asciiTheme="minorEastAsia" w:hAnsiTheme="minorEastAsia"/>
                <w:color w:val="auto"/>
                <w:szCs w:val="24"/>
                <w:lang w:eastAsia="zh-CN"/>
              </w:rPr>
              <w:t>、</w:t>
            </w:r>
            <w:r>
              <w:rPr>
                <w:rFonts w:hint="eastAsia" w:asciiTheme="minorEastAsia" w:hAnsiTheme="minorEastAsia"/>
                <w:color w:val="auto"/>
                <w:szCs w:val="24"/>
              </w:rPr>
              <w:t>住宿、食堂等应符合有关文明施工、健康卫生的规定。施工现场扬尘治理</w:t>
            </w:r>
            <w:r>
              <w:rPr>
                <w:rFonts w:hint="eastAsia" w:asciiTheme="minorEastAsia" w:hAnsiTheme="minorEastAsia"/>
                <w:color w:val="auto"/>
                <w:szCs w:val="24"/>
                <w:lang w:val="en-US" w:eastAsia="zh-CN"/>
              </w:rPr>
              <w:t>及建筑垃圾分类减量等措施</w:t>
            </w:r>
            <w:r>
              <w:rPr>
                <w:rFonts w:hint="eastAsia" w:asciiTheme="minorEastAsia" w:hAnsiTheme="minorEastAsia"/>
                <w:color w:val="auto"/>
                <w:szCs w:val="24"/>
              </w:rPr>
              <w:t>科学、先进，达到内部标准化、外部景观化、无露土、干净整齐等“净化、绿化、亮化”效果。</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针对项目实际情况，有合理的措施且具体、完整，采用规范准确、清晰。创文明工地目标明确，临时设施、现场道路、</w:t>
            </w:r>
            <w:r>
              <w:rPr>
                <w:rFonts w:hint="eastAsia" w:asciiTheme="minorEastAsia" w:hAnsiTheme="minorEastAsia"/>
                <w:color w:val="auto"/>
                <w:szCs w:val="24"/>
                <w:lang w:val="en-US" w:eastAsia="zh-CN"/>
              </w:rPr>
              <w:t>建筑材料</w:t>
            </w:r>
            <w:r>
              <w:rPr>
                <w:rFonts w:hint="eastAsia" w:asciiTheme="minorEastAsia" w:hAnsiTheme="minorEastAsia"/>
                <w:color w:val="auto"/>
                <w:szCs w:val="24"/>
              </w:rPr>
              <w:t>堆放、住宿、食堂等应符合有关文明施工、健康卫生的规定。施工现场扬尘治理</w:t>
            </w:r>
            <w:r>
              <w:rPr>
                <w:rFonts w:hint="eastAsia" w:asciiTheme="minorEastAsia" w:hAnsiTheme="minorEastAsia"/>
                <w:color w:val="auto"/>
                <w:szCs w:val="24"/>
                <w:lang w:val="en-US" w:eastAsia="zh-CN"/>
              </w:rPr>
              <w:t>及建筑垃圾分类减量等措施</w:t>
            </w:r>
            <w:r>
              <w:rPr>
                <w:rFonts w:hint="eastAsia" w:asciiTheme="minorEastAsia" w:hAnsiTheme="minorEastAsia"/>
                <w:color w:val="auto"/>
                <w:szCs w:val="24"/>
              </w:rPr>
              <w:t>合理，达到无露土、干净整齐效果。</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有基本合理的文明施工措施，采用规范准确。创文明工地目标不够明确，临时设施、现场道路、</w:t>
            </w:r>
            <w:r>
              <w:rPr>
                <w:rFonts w:hint="eastAsia" w:asciiTheme="minorEastAsia" w:hAnsiTheme="minorEastAsia"/>
                <w:color w:val="auto"/>
                <w:szCs w:val="24"/>
                <w:lang w:val="en-US" w:eastAsia="zh-CN"/>
              </w:rPr>
              <w:t>建筑材料</w:t>
            </w:r>
            <w:r>
              <w:rPr>
                <w:rFonts w:hint="eastAsia" w:asciiTheme="minorEastAsia" w:hAnsiTheme="minorEastAsia"/>
                <w:color w:val="auto"/>
                <w:szCs w:val="24"/>
              </w:rPr>
              <w:t>堆放、住宿、食堂等基本符合有关文明施工、健康卫生的规定。施工现场扬尘治理</w:t>
            </w:r>
            <w:r>
              <w:rPr>
                <w:rFonts w:hint="eastAsia" w:asciiTheme="minorEastAsia" w:hAnsiTheme="minorEastAsia"/>
                <w:color w:val="auto"/>
                <w:szCs w:val="24"/>
                <w:lang w:val="en-US" w:eastAsia="zh-CN"/>
              </w:rPr>
              <w:t>及建筑垃圾分类减量措施</w:t>
            </w:r>
            <w:r>
              <w:rPr>
                <w:rFonts w:hint="eastAsia" w:asciiTheme="minorEastAsia" w:hAnsiTheme="minorEastAsia"/>
                <w:color w:val="auto"/>
                <w:szCs w:val="24"/>
              </w:rPr>
              <w:t>一般。</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文明施工措施不力、或采用规范不正确。缺少创文明工地目标，临时设施、现场道路、</w:t>
            </w:r>
            <w:r>
              <w:rPr>
                <w:rFonts w:hint="eastAsia" w:asciiTheme="minorEastAsia" w:hAnsiTheme="minorEastAsia"/>
                <w:color w:val="auto"/>
                <w:szCs w:val="24"/>
                <w:lang w:val="en-US" w:eastAsia="zh-CN"/>
              </w:rPr>
              <w:t>建筑</w:t>
            </w:r>
            <w:r>
              <w:rPr>
                <w:rFonts w:hint="eastAsia" w:asciiTheme="minorEastAsia" w:hAnsiTheme="minorEastAsia"/>
                <w:color w:val="auto"/>
                <w:szCs w:val="24"/>
              </w:rPr>
              <w:t>材料堆放、住宿、食堂等不符合有关文明施工、健康卫生的规定。缺少施工现场扬尘治理</w:t>
            </w:r>
            <w:r>
              <w:rPr>
                <w:rFonts w:hint="eastAsia" w:asciiTheme="minorEastAsia" w:hAnsiTheme="minorEastAsia"/>
                <w:color w:val="auto"/>
                <w:szCs w:val="24"/>
                <w:lang w:val="en-US" w:eastAsia="zh-CN"/>
              </w:rPr>
              <w:t>及建筑垃圾分类减量措施</w:t>
            </w:r>
            <w:r>
              <w:rPr>
                <w:rFonts w:hint="eastAsia" w:asciiTheme="minorEastAsia" w:hAnsiTheme="minorEastAsia"/>
                <w:color w:val="auto"/>
                <w:szCs w:val="24"/>
              </w:rPr>
              <w:t>。</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5</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施工总平面图布置（按规定须在施工现场安装远程视频监控系统的，应包含远程视频监控系统布置）</w:t>
            </w:r>
          </w:p>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10</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总体布置有针对性、合理、能较好满足施工需要，符合安全、文明施工要求；远程视频监控系统按照省住建厅《关于实施房屋建筑工程远程视频监控的通知》</w:t>
            </w:r>
            <w:r>
              <w:rPr>
                <w:rFonts w:hint="eastAsia" w:asciiTheme="minorEastAsia" w:hAnsiTheme="minorEastAsia"/>
                <w:color w:val="auto"/>
                <w:szCs w:val="24"/>
                <w:lang w:val="en-US" w:eastAsia="zh-CN"/>
              </w:rPr>
              <w:t>及建筑垃圾管理相关规定</w:t>
            </w:r>
            <w:r>
              <w:rPr>
                <w:rFonts w:hint="eastAsia" w:asciiTheme="minorEastAsia" w:hAnsiTheme="minorEastAsia"/>
                <w:color w:val="auto"/>
                <w:szCs w:val="24"/>
              </w:rPr>
              <w:t>布置合理；PC构件堆放有序，科学合理安排施工队伍</w:t>
            </w:r>
            <w:r>
              <w:rPr>
                <w:rFonts w:hint="eastAsia" w:asciiTheme="minorEastAsia" w:hAnsiTheme="minorEastAsia"/>
                <w:color w:val="auto"/>
                <w:szCs w:val="24"/>
                <w:lang w:eastAsia="zh-CN"/>
              </w:rPr>
              <w:t>；</w:t>
            </w:r>
            <w:r>
              <w:rPr>
                <w:rFonts w:hint="eastAsia" w:asciiTheme="minorEastAsia" w:hAnsiTheme="minorEastAsia"/>
                <w:color w:val="auto"/>
                <w:szCs w:val="24"/>
                <w:lang w:val="en-US" w:eastAsia="zh-CN"/>
              </w:rPr>
              <w:t>建筑垃圾分类堆放区域设置科学、合理。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总体布置合理、能满足施工需要，基本符合安全、文明生产要求；远程视频监控系统布置一般；PC构件堆放一般，显示施工队伍安排</w:t>
            </w:r>
            <w:r>
              <w:rPr>
                <w:rFonts w:hint="eastAsia" w:asciiTheme="minorEastAsia" w:hAnsiTheme="minorEastAsia"/>
                <w:color w:val="auto"/>
                <w:szCs w:val="24"/>
                <w:lang w:eastAsia="zh-CN"/>
              </w:rPr>
              <w:t>；</w:t>
            </w:r>
            <w:r>
              <w:rPr>
                <w:rFonts w:hint="eastAsia" w:asciiTheme="minorEastAsia" w:hAnsiTheme="minorEastAsia"/>
                <w:color w:val="auto"/>
                <w:szCs w:val="24"/>
                <w:lang w:val="en-US" w:eastAsia="zh-CN"/>
              </w:rPr>
              <w:t>建筑垃圾分类堆放区域设置合理。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总体布置基本合理、基本满足施工需要</w:t>
            </w:r>
            <w:r>
              <w:rPr>
                <w:rFonts w:hint="eastAsia" w:asciiTheme="minorEastAsia" w:hAnsiTheme="minorEastAsia"/>
                <w:color w:val="auto"/>
                <w:szCs w:val="24"/>
                <w:lang w:eastAsia="zh-CN"/>
              </w:rPr>
              <w:t>；</w:t>
            </w:r>
            <w:r>
              <w:rPr>
                <w:rFonts w:hint="eastAsia" w:asciiTheme="minorEastAsia" w:hAnsiTheme="minorEastAsia"/>
                <w:color w:val="auto"/>
                <w:szCs w:val="24"/>
                <w:lang w:val="en-US" w:eastAsia="zh-CN"/>
              </w:rPr>
              <w:t>建筑垃圾分类堆放区域设置基本合理。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总体布置不合理、或不符合安全、文明施工要求；远程视频监控系统布置不合理；缺少PC构件堆放布置</w:t>
            </w:r>
            <w:r>
              <w:rPr>
                <w:rFonts w:hint="eastAsia" w:asciiTheme="minorEastAsia" w:hAnsiTheme="minorEastAsia"/>
                <w:color w:val="auto"/>
                <w:szCs w:val="24"/>
                <w:lang w:eastAsia="zh-CN"/>
              </w:rPr>
              <w:t>；</w:t>
            </w:r>
            <w:r>
              <w:rPr>
                <w:rFonts w:hint="eastAsia" w:asciiTheme="minorEastAsia" w:hAnsiTheme="minorEastAsia"/>
                <w:color w:val="auto"/>
                <w:szCs w:val="24"/>
                <w:lang w:val="en-US" w:eastAsia="zh-CN"/>
              </w:rPr>
              <w:t>建筑垃圾分类堆放区域设置不合理。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6</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施工总进度表与网络计划图</w:t>
            </w:r>
          </w:p>
          <w:p>
            <w:pPr>
              <w:spacing w:line="540" w:lineRule="exact"/>
              <w:ind w:firstLine="480"/>
              <w:jc w:val="center"/>
              <w:rPr>
                <w:rFonts w:asciiTheme="minorEastAsia" w:hAnsiTheme="minorEastAsia"/>
                <w:color w:val="auto"/>
                <w:szCs w:val="24"/>
              </w:rPr>
            </w:pP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199" w:firstLineChars="83"/>
              <w:jc w:val="left"/>
              <w:rPr>
                <w:rFonts w:asciiTheme="minorEastAsia" w:hAnsiTheme="minorEastAsia"/>
                <w:color w:val="auto"/>
                <w:szCs w:val="24"/>
              </w:rPr>
            </w:pPr>
            <w:r>
              <w:rPr>
                <w:rFonts w:hint="eastAsia" w:asciiTheme="minorEastAsia" w:hAnsiTheme="minorEastAsia"/>
                <w:color w:val="auto"/>
                <w:szCs w:val="24"/>
              </w:rPr>
              <w:t>6</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关键线路清晰、准确、完整、计划编制合理、可行、满足招标文件对工期的要求，对关键节点的控制措施有力、合理、可行。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关键线路清晰、准确、完整、计划编制可行、满足招标文件对工期的要求，对关键节点的控制措施合理、可行。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关键线路基本准确，计划编制不合理，对关键节点的控制措施基本可行。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关键线路不准确、计划编制不合理，或对关键节点的控制措施不可行。</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7</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拟投入的主要施工机械计划</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6</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投入计划与进度计划呼应，采用先进机械设备且配置合理、先进，满足安全技术规范和施工进度需要；PC构件运输、安装设备满足施工要求。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投入计划与进度计划呼应，机械设备配置合理、先进，满足安全技术规范和施工进度需要。</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投入计划与进度计划呼应，机械设备配置基本合理，满足安全技术规范和施工进度需要。</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投入计划与进度计划不呼应，机械设备配置不合理，不能满足安全技术规范和施工进度需要；PC构件运输、安装设备不能满足施工要求。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8</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劳动力安排计划</w:t>
            </w:r>
          </w:p>
          <w:p>
            <w:pPr>
              <w:spacing w:line="540" w:lineRule="exact"/>
              <w:ind w:firstLine="480"/>
              <w:jc w:val="center"/>
              <w:rPr>
                <w:rFonts w:asciiTheme="minorEastAsia" w:hAnsiTheme="minorEastAsia"/>
                <w:color w:val="auto"/>
                <w:szCs w:val="24"/>
              </w:rPr>
            </w:pP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7</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投入计划与进度计划呼应，较好满足施工需要，调配投入计划合理、准确。</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投入计划与进度计划呼应，基本满足施工需要，调配投入计划基本合理、准确。</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投入计划与进度计划呼应，基本满足施工需要，调配投入计划基本合理。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投入计划与进度计划不呼应，不能满足施工需要。</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9</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工期保证措施</w:t>
            </w: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6</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工期承诺满足招标文件要求，工期保证措施合理且有针对性，有具体的违约责任承诺。</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工期承诺满足招标文件要求，工期保证措施合理且针对性一般，有具体的违约责任承诺。</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工期承诺满足招标文件要求，工期保证措施基本合理，有具体的违约责任承诺。</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工期承诺满足招标文件要求，但工期保证措施存在问题，违约责任承诺不具体。</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10</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拟投入的主要物资计划</w:t>
            </w:r>
          </w:p>
          <w:p>
            <w:pPr>
              <w:spacing w:line="540" w:lineRule="exact"/>
              <w:ind w:firstLine="0" w:firstLineChars="0"/>
              <w:jc w:val="left"/>
              <w:rPr>
                <w:rFonts w:asciiTheme="minorEastAsia" w:hAnsiTheme="minorEastAsia"/>
                <w:color w:val="auto"/>
                <w:szCs w:val="24"/>
              </w:rPr>
            </w:pPr>
          </w:p>
          <w:p>
            <w:pPr>
              <w:spacing w:line="540" w:lineRule="exact"/>
              <w:ind w:firstLine="480"/>
              <w:jc w:val="center"/>
              <w:rPr>
                <w:rFonts w:asciiTheme="minorEastAsia" w:hAnsiTheme="minorEastAsia"/>
                <w:color w:val="auto"/>
                <w:szCs w:val="24"/>
              </w:rPr>
            </w:pPr>
          </w:p>
        </w:tc>
        <w:tc>
          <w:tcPr>
            <w:tcW w:w="709"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6</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主要物资（含PC构件的供应需求）投入计划与进度计划呼应，</w:t>
            </w:r>
            <w:r>
              <w:rPr>
                <w:rFonts w:hint="eastAsia" w:asciiTheme="minorEastAsia" w:hAnsiTheme="minorEastAsia"/>
                <w:color w:val="auto"/>
                <w:szCs w:val="24"/>
                <w:lang w:val="en-US" w:eastAsia="zh-CN"/>
              </w:rPr>
              <w:t>积极使用再生产品，</w:t>
            </w:r>
            <w:r>
              <w:rPr>
                <w:rFonts w:hint="eastAsia" w:asciiTheme="minorEastAsia" w:hAnsiTheme="minorEastAsia"/>
                <w:color w:val="auto"/>
                <w:szCs w:val="24"/>
              </w:rPr>
              <w:t>较好满足施工需要，调配投入计划合理、准确。</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主要物资（含PC构件的供应需求）投入计划与进度计划呼应，基本满足施工需要，调配投入计划基本合理、准确。</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主要物资（含PC构件的供应需求）投入计划与进度计划呼应，基本满足施工需要，调配投入计划基本合理。</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主要物资（含PC构件的供应需求）投入计划与进度计划不呼应，不能满足施工需要。</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68" w:type="dxa"/>
            <w:vMerge w:val="restart"/>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11</w:t>
            </w:r>
          </w:p>
        </w:tc>
        <w:tc>
          <w:tcPr>
            <w:tcW w:w="1276" w:type="dxa"/>
            <w:vMerge w:val="restart"/>
            <w:vAlign w:val="center"/>
          </w:tcPr>
          <w:p>
            <w:pPr>
              <w:spacing w:line="540" w:lineRule="exact"/>
              <w:ind w:firstLine="0" w:firstLineChars="0"/>
              <w:jc w:val="left"/>
              <w:rPr>
                <w:rFonts w:asciiTheme="minorEastAsia" w:hAnsiTheme="minorEastAsia"/>
                <w:color w:val="auto"/>
                <w:szCs w:val="24"/>
              </w:rPr>
            </w:pPr>
            <w:r>
              <w:rPr>
                <w:rFonts w:hint="eastAsia" w:cs="宋体" w:asciiTheme="minorEastAsia" w:hAnsiTheme="minorEastAsia"/>
                <w:color w:val="auto"/>
                <w:kern w:val="0"/>
                <w:szCs w:val="24"/>
              </w:rPr>
              <w:t>施工组织设计的完整性</w:t>
            </w:r>
          </w:p>
        </w:tc>
        <w:tc>
          <w:tcPr>
            <w:tcW w:w="709" w:type="dxa"/>
            <w:vMerge w:val="restart"/>
            <w:vAlign w:val="center"/>
          </w:tcPr>
          <w:p>
            <w:pPr>
              <w:spacing w:line="540" w:lineRule="exact"/>
              <w:ind w:firstLine="199" w:firstLineChars="83"/>
              <w:rPr>
                <w:rFonts w:asciiTheme="minorEastAsia" w:hAnsiTheme="minorEastAsia"/>
                <w:color w:val="auto"/>
                <w:szCs w:val="24"/>
              </w:rPr>
            </w:pPr>
            <w:r>
              <w:rPr>
                <w:rFonts w:hint="eastAsia" w:asciiTheme="minorEastAsia" w:hAnsiTheme="minorEastAsia"/>
                <w:color w:val="auto"/>
                <w:szCs w:val="24"/>
              </w:rPr>
              <w:t>5</w:t>
            </w: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优</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(85%～100%)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（含85%）</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施工组织设计重点内容突出、有效，具有完整性、针对性、先进性，符合招标文件的要求。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良</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(70%～85%)</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（含70%）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施工组织设计重点内容突出、有效，具有完整性、针对性，符合招标文件的要求。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中</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(60%～70%)</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（含60%）</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施工组织设计内容一般、具有完整性，符合招标文件的要求。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68" w:type="dxa"/>
            <w:vMerge w:val="continue"/>
            <w:vAlign w:val="center"/>
          </w:tcPr>
          <w:p>
            <w:pPr>
              <w:spacing w:line="540" w:lineRule="exact"/>
              <w:ind w:firstLine="480"/>
              <w:jc w:val="center"/>
              <w:rPr>
                <w:rFonts w:asciiTheme="minorEastAsia" w:hAnsiTheme="minorEastAsia"/>
                <w:color w:val="auto"/>
                <w:szCs w:val="24"/>
              </w:rPr>
            </w:pPr>
          </w:p>
        </w:tc>
        <w:tc>
          <w:tcPr>
            <w:tcW w:w="1276" w:type="dxa"/>
            <w:vMerge w:val="continue"/>
            <w:vAlign w:val="center"/>
          </w:tcPr>
          <w:p>
            <w:pPr>
              <w:spacing w:line="540" w:lineRule="exact"/>
              <w:ind w:firstLine="480"/>
              <w:jc w:val="center"/>
              <w:rPr>
                <w:rFonts w:asciiTheme="minorEastAsia" w:hAnsiTheme="minorEastAsia"/>
                <w:color w:val="auto"/>
                <w:szCs w:val="24"/>
              </w:rPr>
            </w:pPr>
          </w:p>
        </w:tc>
        <w:tc>
          <w:tcPr>
            <w:tcW w:w="709" w:type="dxa"/>
            <w:vMerge w:val="continue"/>
            <w:vAlign w:val="center"/>
          </w:tcPr>
          <w:p>
            <w:pPr>
              <w:spacing w:line="540" w:lineRule="exact"/>
              <w:ind w:firstLine="480"/>
              <w:jc w:val="center"/>
              <w:rPr>
                <w:rFonts w:asciiTheme="minorEastAsia" w:hAnsiTheme="minorEastAsia"/>
                <w:color w:val="auto"/>
                <w:szCs w:val="24"/>
              </w:rPr>
            </w:pPr>
          </w:p>
        </w:tc>
        <w:tc>
          <w:tcPr>
            <w:tcW w:w="1559"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差</w:t>
            </w:r>
          </w:p>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60%以下</w:t>
            </w:r>
          </w:p>
        </w:tc>
        <w:tc>
          <w:tcPr>
            <w:tcW w:w="8930" w:type="dxa"/>
            <w:vAlign w:val="center"/>
          </w:tcPr>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施工组织设计不符合招标文件要求。</w:t>
            </w: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44" w:type="dxa"/>
            <w:gridSpan w:val="2"/>
            <w:vAlign w:val="center"/>
          </w:tcPr>
          <w:p>
            <w:pPr>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合计</w:t>
            </w:r>
          </w:p>
        </w:tc>
        <w:tc>
          <w:tcPr>
            <w:tcW w:w="709" w:type="dxa"/>
            <w:vAlign w:val="center"/>
          </w:tcPr>
          <w:p>
            <w:pPr>
              <w:spacing w:line="540" w:lineRule="exact"/>
              <w:ind w:firstLine="0" w:firstLineChars="0"/>
              <w:rPr>
                <w:rFonts w:asciiTheme="minorEastAsia" w:hAnsiTheme="minorEastAsia"/>
                <w:bCs/>
                <w:color w:val="auto"/>
                <w:szCs w:val="24"/>
              </w:rPr>
            </w:pPr>
            <w:r>
              <w:rPr>
                <w:rFonts w:hint="eastAsia" w:asciiTheme="minorEastAsia" w:hAnsiTheme="minorEastAsia"/>
                <w:bCs/>
                <w:color w:val="auto"/>
                <w:szCs w:val="24"/>
              </w:rPr>
              <w:t>100</w:t>
            </w:r>
          </w:p>
        </w:tc>
        <w:tc>
          <w:tcPr>
            <w:tcW w:w="1559" w:type="dxa"/>
            <w:vAlign w:val="center"/>
          </w:tcPr>
          <w:p>
            <w:pPr>
              <w:spacing w:line="540" w:lineRule="exact"/>
              <w:ind w:firstLine="480"/>
              <w:jc w:val="center"/>
              <w:rPr>
                <w:rFonts w:asciiTheme="minorEastAsia" w:hAnsiTheme="minorEastAsia"/>
                <w:color w:val="auto"/>
                <w:szCs w:val="24"/>
              </w:rPr>
            </w:pPr>
          </w:p>
        </w:tc>
        <w:tc>
          <w:tcPr>
            <w:tcW w:w="8930" w:type="dxa"/>
            <w:vAlign w:val="center"/>
          </w:tcPr>
          <w:p>
            <w:pPr>
              <w:spacing w:line="540" w:lineRule="exact"/>
              <w:ind w:firstLine="480"/>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709" w:type="dxa"/>
            <w:vAlign w:val="center"/>
          </w:tcPr>
          <w:p>
            <w:pPr>
              <w:spacing w:line="540" w:lineRule="exact"/>
              <w:ind w:firstLine="480"/>
              <w:jc w:val="center"/>
              <w:rPr>
                <w:rFonts w:asciiTheme="minorEastAsia" w:hAnsiTheme="minorEastAsia"/>
                <w:color w:val="auto"/>
                <w:szCs w:val="24"/>
              </w:rPr>
            </w:pPr>
          </w:p>
        </w:tc>
        <w:tc>
          <w:tcPr>
            <w:tcW w:w="425" w:type="dxa"/>
            <w:vAlign w:val="center"/>
          </w:tcPr>
          <w:p>
            <w:pPr>
              <w:spacing w:line="540" w:lineRule="exact"/>
              <w:ind w:firstLine="480"/>
              <w:jc w:val="center"/>
              <w:rPr>
                <w:rFonts w:asciiTheme="minorEastAsia" w:hAnsiTheme="minorEastAsia"/>
                <w:color w:val="auto"/>
                <w:szCs w:val="24"/>
              </w:rPr>
            </w:pPr>
          </w:p>
        </w:tc>
      </w:tr>
    </w:tbl>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备注：</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施工组织设计评审和评分说明：</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1.技术标中应当具有的项目缺项的，该项目为差，得分为0。</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2.表中带★项为保证项目，保证项目如有一项及以上评审结果为差，其技术标得分为0。</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3.其他为一般项目，一般项目中有二项及以上评审结果为差，其技术标得分为0。</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4.不能作出平面布置的对第5项不作评审。</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5.技术标得分为0的投标人或技术标被评定为不合格的投标人不能进入商务标的评审</w:t>
      </w:r>
      <w:r>
        <w:rPr>
          <w:rFonts w:hint="eastAsia" w:cs="宋体" w:asciiTheme="minorEastAsia" w:hAnsiTheme="minorEastAsia"/>
          <w:color w:val="auto"/>
          <w:szCs w:val="24"/>
        </w:rPr>
        <w:t>、不能确定为有效投标人、不能推荐为中标候选人</w:t>
      </w:r>
      <w:r>
        <w:rPr>
          <w:rFonts w:hint="eastAsia" w:asciiTheme="minorEastAsia" w:hAnsiTheme="minorEastAsia"/>
          <w:color w:val="auto"/>
          <w:szCs w:val="24"/>
        </w:rPr>
        <w:t>。</w:t>
      </w:r>
    </w:p>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6.对序号1、5、7、10进行评审时，不涉及装配式、PC构件及远程视频监控系统不做要求的项目，对应的评审标准不做评审要求。</w:t>
      </w:r>
      <w:r>
        <w:rPr>
          <w:rFonts w:asciiTheme="minorEastAsia" w:hAnsiTheme="minorEastAsia"/>
          <w:color w:val="auto"/>
          <w:szCs w:val="24"/>
        </w:rPr>
        <w:br w:type="page"/>
      </w:r>
    </w:p>
    <w:p>
      <w:pPr>
        <w:spacing w:line="540" w:lineRule="exact"/>
        <w:ind w:firstLine="600"/>
        <w:jc w:val="center"/>
        <w:rPr>
          <w:rFonts w:ascii="方正小标宋简体" w:hAnsi="方正小标宋简体" w:eastAsia="方正小标宋简体" w:cs="方正小标宋简体"/>
          <w:bCs/>
          <w:color w:val="auto"/>
          <w:sz w:val="30"/>
        </w:rPr>
      </w:pPr>
      <w:r>
        <w:rPr>
          <w:rFonts w:hint="eastAsia" w:ascii="方正小标宋简体" w:hAnsi="方正小标宋简体" w:eastAsia="方正小标宋简体" w:cs="方正小标宋简体"/>
          <w:bCs/>
          <w:color w:val="auto"/>
          <w:kern w:val="0"/>
          <w:sz w:val="30"/>
          <w:szCs w:val="21"/>
        </w:rPr>
        <w:t>1.2  项目施工阶段BIM实施方案的项目</w:t>
      </w:r>
      <w:r>
        <w:rPr>
          <w:rFonts w:hint="eastAsia" w:ascii="方正小标宋简体" w:hAnsi="方正小标宋简体" w:eastAsia="方正小标宋简体" w:cs="方正小标宋简体"/>
          <w:bCs/>
          <w:color w:val="auto"/>
          <w:sz w:val="30"/>
        </w:rPr>
        <w:t>评审和评分细则</w:t>
      </w:r>
    </w:p>
    <w:tbl>
      <w:tblPr>
        <w:tblStyle w:val="27"/>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709"/>
        <w:gridCol w:w="1134"/>
        <w:gridCol w:w="2410"/>
        <w:gridCol w:w="7654"/>
        <w:gridCol w:w="70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序号</w:t>
            </w:r>
          </w:p>
        </w:tc>
        <w:tc>
          <w:tcPr>
            <w:tcW w:w="709"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项目</w:t>
            </w:r>
          </w:p>
        </w:tc>
        <w:tc>
          <w:tcPr>
            <w:tcW w:w="709"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得分</w:t>
            </w:r>
          </w:p>
        </w:tc>
        <w:tc>
          <w:tcPr>
            <w:tcW w:w="1134" w:type="dxa"/>
            <w:vAlign w:val="center"/>
          </w:tcPr>
          <w:p>
            <w:pPr>
              <w:autoSpaceDE w:val="0"/>
              <w:autoSpaceDN w:val="0"/>
              <w:snapToGrid w:val="0"/>
              <w:spacing w:line="540" w:lineRule="exact"/>
              <w:ind w:firstLine="0" w:firstLineChars="0"/>
              <w:rPr>
                <w:rFonts w:cs="宋体" w:asciiTheme="minorEastAsia" w:hAnsiTheme="minorEastAsia"/>
                <w:bCs/>
                <w:color w:val="auto"/>
                <w:lang w:val="zh-CN"/>
              </w:rPr>
            </w:pPr>
            <w:r>
              <w:rPr>
                <w:rFonts w:hint="eastAsia" w:cs="宋体" w:asciiTheme="minorEastAsia" w:hAnsiTheme="minorEastAsia"/>
                <w:bCs/>
                <w:color w:val="auto"/>
                <w:lang w:val="zh-CN"/>
              </w:rPr>
              <w:t>评审</w:t>
            </w:r>
          </w:p>
          <w:p>
            <w:pPr>
              <w:autoSpaceDE w:val="0"/>
              <w:autoSpaceDN w:val="0"/>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lang w:val="zh-CN"/>
              </w:rPr>
              <w:t>子项</w:t>
            </w:r>
          </w:p>
        </w:tc>
        <w:tc>
          <w:tcPr>
            <w:tcW w:w="2410" w:type="dxa"/>
            <w:vAlign w:val="center"/>
          </w:tcPr>
          <w:p>
            <w:pPr>
              <w:snapToGrid w:val="0"/>
              <w:spacing w:line="540" w:lineRule="exact"/>
              <w:ind w:firstLine="480"/>
              <w:jc w:val="center"/>
              <w:rPr>
                <w:rFonts w:cs="宋体" w:asciiTheme="minorEastAsia" w:hAnsiTheme="minorEastAsia"/>
                <w:bCs/>
                <w:color w:val="auto"/>
              </w:rPr>
            </w:pPr>
            <w:r>
              <w:rPr>
                <w:rFonts w:hint="eastAsia" w:cs="宋体" w:asciiTheme="minorEastAsia" w:hAnsiTheme="minorEastAsia"/>
                <w:bCs/>
                <w:color w:val="auto"/>
              </w:rPr>
              <w:t>等级</w:t>
            </w:r>
          </w:p>
        </w:tc>
        <w:tc>
          <w:tcPr>
            <w:tcW w:w="7654" w:type="dxa"/>
            <w:vAlign w:val="center"/>
          </w:tcPr>
          <w:p>
            <w:pPr>
              <w:snapToGrid w:val="0"/>
              <w:spacing w:line="540" w:lineRule="exact"/>
              <w:ind w:firstLine="480"/>
              <w:jc w:val="center"/>
              <w:rPr>
                <w:rFonts w:cs="宋体" w:asciiTheme="minorEastAsia" w:hAnsiTheme="minorEastAsia"/>
                <w:bCs/>
                <w:color w:val="auto"/>
              </w:rPr>
            </w:pPr>
            <w:r>
              <w:rPr>
                <w:rFonts w:hint="eastAsia" w:cs="宋体" w:asciiTheme="minorEastAsia" w:hAnsiTheme="minorEastAsia"/>
                <w:bCs/>
                <w:color w:val="auto"/>
              </w:rPr>
              <w:t>评审标准</w:t>
            </w:r>
          </w:p>
        </w:tc>
        <w:tc>
          <w:tcPr>
            <w:tcW w:w="709"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评审</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结果</w:t>
            </w:r>
          </w:p>
        </w:tc>
        <w:tc>
          <w:tcPr>
            <w:tcW w:w="850"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原因</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说明</w:t>
            </w:r>
          </w:p>
        </w:tc>
        <w:tc>
          <w:tcPr>
            <w:tcW w:w="851"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1</w:t>
            </w:r>
          </w:p>
        </w:tc>
        <w:tc>
          <w:tcPr>
            <w:tcW w:w="709" w:type="dxa"/>
            <w:vMerge w:val="restart"/>
            <w:vAlign w:val="center"/>
          </w:tcPr>
          <w:p>
            <w:pPr>
              <w:autoSpaceDN w:val="0"/>
              <w:snapToGrid w:val="0"/>
              <w:spacing w:line="540" w:lineRule="exact"/>
              <w:ind w:firstLine="0" w:firstLineChars="0"/>
              <w:textAlignment w:val="center"/>
              <w:rPr>
                <w:rFonts w:cs="宋体" w:asciiTheme="minorEastAsia" w:hAnsiTheme="minorEastAsia"/>
                <w:bCs/>
                <w:color w:val="auto"/>
              </w:rPr>
            </w:pPr>
            <w:r>
              <w:rPr>
                <w:rFonts w:hint="eastAsia" w:cs="宋体" w:asciiTheme="minorEastAsia" w:hAnsiTheme="minorEastAsia"/>
                <w:bCs/>
                <w:color w:val="auto"/>
              </w:rPr>
              <w:t>总体评价</w:t>
            </w:r>
          </w:p>
        </w:tc>
        <w:tc>
          <w:tcPr>
            <w:tcW w:w="709"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15</w:t>
            </w:r>
          </w:p>
        </w:tc>
        <w:tc>
          <w:tcPr>
            <w:tcW w:w="1134"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lang w:val="zh-CN"/>
              </w:rPr>
              <w:t>总体评价</w:t>
            </w:r>
          </w:p>
        </w:tc>
        <w:tc>
          <w:tcPr>
            <w:tcW w:w="2410"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 xml:space="preserve">    优</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(85%～100%，含85%）</w:t>
            </w:r>
          </w:p>
        </w:tc>
        <w:tc>
          <w:tcPr>
            <w:tcW w:w="7654" w:type="dxa"/>
            <w:vAlign w:val="center"/>
          </w:tcPr>
          <w:p>
            <w:pPr>
              <w:pStyle w:val="9"/>
              <w:snapToGrid w:val="0"/>
              <w:spacing w:line="540" w:lineRule="exact"/>
              <w:ind w:firstLine="480"/>
              <w:rPr>
                <w:rFonts w:cs="宋体" w:asciiTheme="minorEastAsia" w:hAnsiTheme="minorEastAsia" w:eastAsiaTheme="minorEastAsia"/>
                <w:bCs/>
                <w:color w:val="auto"/>
              </w:rPr>
            </w:pPr>
            <w:bookmarkStart w:id="5" w:name="_Hlk489971876"/>
            <w:r>
              <w:rPr>
                <w:rFonts w:hint="eastAsia" w:cs="宋体" w:asciiTheme="minorEastAsia" w:hAnsiTheme="minorEastAsia" w:eastAsiaTheme="minorEastAsia"/>
                <w:bCs/>
                <w:color w:val="auto"/>
              </w:rPr>
              <w:t>BIM模型精度满足招标要求；BIM实施方案（组织机构及岗位职责；软硬件配置；BIM应用价值点；保障机制；）切实结合施工组织设计安全、可行，对施工重点、难点促进作用明显，各阶段BIM模型及应用成果交付计划清晰；BIM协调管理机制设计合理，能让各BIM参与方有序、高效工作。</w:t>
            </w:r>
            <w:bookmarkEnd w:id="5"/>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良</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(70%～85%，含70%）</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BIM模型精度满足招标要求；BIM实施方案切实结合施工组织设计安全、可行，对施工重点、难点有促进作用，有各阶段BIM模型及应用成果交付计划；BIM协调管理机制设计合理，能让各BIM参与方有序、高效工作。</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中</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(60%～70%，含60%）</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BIM模型精度满足招标要求；BIM实施方案安全、可行，对施工重点有促进作用，有各阶段BIM模型应用成果交付计划；BIM协调管理机制可行，各BIM参与方可以有效沟通。</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差</w:t>
            </w:r>
          </w:p>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60%以下</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BIM模型精度满足招标要求；BIM实施方案安全、可行，有各阶段BIM模型及应用成果交付计划；没有BIM协调管理机制，或BIM协调管理机制不可行，不能有效沟通各BIM参与方。</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562"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2</w:t>
            </w:r>
          </w:p>
        </w:tc>
        <w:tc>
          <w:tcPr>
            <w:tcW w:w="709"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lang w:val="zh-CN"/>
              </w:rPr>
              <w:t>深化设计</w:t>
            </w:r>
          </w:p>
        </w:tc>
        <w:tc>
          <w:tcPr>
            <w:tcW w:w="709" w:type="dxa"/>
            <w:vMerge w:val="restart"/>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12</w:t>
            </w:r>
          </w:p>
        </w:tc>
        <w:tc>
          <w:tcPr>
            <w:tcW w:w="1134" w:type="dxa"/>
            <w:vMerge w:val="restart"/>
            <w:vAlign w:val="center"/>
          </w:tcPr>
          <w:p>
            <w:pPr>
              <w:autoSpaceDE w:val="0"/>
              <w:autoSpaceDN w:val="0"/>
              <w:snapToGrid w:val="0"/>
              <w:spacing w:line="540" w:lineRule="exact"/>
              <w:ind w:left="80" w:right="40" w:firstLine="0" w:firstLineChars="0"/>
              <w:rPr>
                <w:rFonts w:cs="宋体" w:asciiTheme="minorEastAsia" w:hAnsiTheme="minorEastAsia"/>
                <w:bCs/>
                <w:color w:val="auto"/>
              </w:rPr>
            </w:pPr>
            <w:r>
              <w:rPr>
                <w:rFonts w:hint="eastAsia" w:cs="宋体" w:asciiTheme="minorEastAsia" w:hAnsiTheme="minorEastAsia"/>
                <w:bCs/>
                <w:color w:val="auto"/>
                <w:lang w:val="zh-CN"/>
              </w:rPr>
              <w:t>模型碰撞检查</w:t>
            </w:r>
            <w:r>
              <w:rPr>
                <w:rFonts w:hint="eastAsia" w:cs="宋体" w:asciiTheme="minorEastAsia" w:hAnsiTheme="minorEastAsia"/>
                <w:bCs/>
                <w:color w:val="auto"/>
              </w:rPr>
              <w:t>【★】</w:t>
            </w: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优</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(85%～100%，含85%）</w:t>
            </w:r>
          </w:p>
        </w:tc>
        <w:tc>
          <w:tcPr>
            <w:tcW w:w="7654" w:type="dxa"/>
            <w:vAlign w:val="center"/>
          </w:tcPr>
          <w:p>
            <w:pPr>
              <w:snapToGrid w:val="0"/>
              <w:spacing w:line="540" w:lineRule="exact"/>
              <w:ind w:firstLine="480"/>
              <w:rPr>
                <w:rFonts w:cs="宋体" w:asciiTheme="minorEastAsia" w:hAnsiTheme="minorEastAsia"/>
                <w:bCs/>
                <w:color w:val="auto"/>
              </w:rPr>
            </w:pPr>
            <w:bookmarkStart w:id="6" w:name="_Hlk489971899"/>
            <w:r>
              <w:rPr>
                <w:rFonts w:hint="eastAsia" w:cs="宋体" w:asciiTheme="minorEastAsia" w:hAnsiTheme="minorEastAsia"/>
                <w:bCs/>
                <w:color w:val="auto"/>
              </w:rPr>
              <w:t>提供碰撞检查报告及优化方案（招标文件提供报告格式要求、精度），且方案内容符合相关规范要求，碰撞检查报告内容全面、详实，优化方案全面、准确、清晰。</w:t>
            </w:r>
            <w:bookmarkEnd w:id="6"/>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良</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(70%～85%，含70%）</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提供碰撞检查报告及优化方案（招标文件提供报告格式要求、精度），且方案内容符合相关规范要求，碰撞检查报告内容全面、详实。</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中</w:t>
            </w:r>
          </w:p>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(60%～70%，含60%）</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提供碰撞检查报告及优化方案，优化方案符合要求。</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62"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709" w:type="dxa"/>
            <w:vMerge w:val="continue"/>
            <w:vAlign w:val="center"/>
          </w:tcPr>
          <w:p>
            <w:pPr>
              <w:snapToGrid w:val="0"/>
              <w:spacing w:line="540" w:lineRule="exact"/>
              <w:ind w:firstLine="480"/>
              <w:jc w:val="center"/>
              <w:rPr>
                <w:rFonts w:cs="宋体" w:asciiTheme="minorEastAsia" w:hAnsiTheme="minorEastAsia"/>
                <w:bCs/>
                <w:color w:val="auto"/>
              </w:rPr>
            </w:pPr>
          </w:p>
        </w:tc>
        <w:tc>
          <w:tcPr>
            <w:tcW w:w="1134" w:type="dxa"/>
            <w:vMerge w:val="continue"/>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差</w:t>
            </w:r>
          </w:p>
          <w:p>
            <w:pPr>
              <w:snapToGrid w:val="0"/>
              <w:spacing w:line="540" w:lineRule="exact"/>
              <w:ind w:firstLine="0" w:firstLineChars="0"/>
              <w:jc w:val="center"/>
              <w:rPr>
                <w:rFonts w:cs="宋体" w:asciiTheme="minorEastAsia" w:hAnsiTheme="minorEastAsia"/>
                <w:bCs/>
                <w:color w:val="auto"/>
              </w:rPr>
            </w:pPr>
            <w:r>
              <w:rPr>
                <w:rFonts w:hint="eastAsia" w:cs="宋体" w:asciiTheme="minorEastAsia" w:hAnsiTheme="minorEastAsia"/>
                <w:bCs/>
                <w:color w:val="auto"/>
              </w:rPr>
              <w:t>60%以下</w:t>
            </w:r>
          </w:p>
        </w:tc>
        <w:tc>
          <w:tcPr>
            <w:tcW w:w="7654" w:type="dxa"/>
            <w:vAlign w:val="center"/>
          </w:tcPr>
          <w:p>
            <w:pPr>
              <w:snapToGrid w:val="0"/>
              <w:spacing w:line="540" w:lineRule="exact"/>
              <w:ind w:firstLine="480"/>
              <w:rPr>
                <w:rFonts w:cs="宋体" w:asciiTheme="minorEastAsia" w:hAnsiTheme="minorEastAsia"/>
                <w:bCs/>
                <w:color w:val="auto"/>
              </w:rPr>
            </w:pPr>
            <w:r>
              <w:rPr>
                <w:rFonts w:hint="eastAsia" w:cs="宋体" w:asciiTheme="minorEastAsia" w:hAnsiTheme="minorEastAsia"/>
                <w:bCs/>
                <w:color w:val="auto"/>
              </w:rPr>
              <w:t>有碰撞检查报告，优化方案缺失或不完整。</w:t>
            </w:r>
          </w:p>
        </w:tc>
        <w:tc>
          <w:tcPr>
            <w:tcW w:w="709" w:type="dxa"/>
            <w:vAlign w:val="center"/>
          </w:tcPr>
          <w:p>
            <w:pPr>
              <w:snapToGrid w:val="0"/>
              <w:spacing w:line="540" w:lineRule="exact"/>
              <w:ind w:firstLine="480"/>
              <w:jc w:val="center"/>
              <w:rPr>
                <w:rFonts w:cs="宋体" w:asciiTheme="minorEastAsia" w:hAnsiTheme="minorEastAsia"/>
                <w:bCs/>
                <w:color w:val="auto"/>
              </w:rPr>
            </w:pPr>
          </w:p>
        </w:tc>
        <w:tc>
          <w:tcPr>
            <w:tcW w:w="850" w:type="dxa"/>
            <w:vAlign w:val="center"/>
          </w:tcPr>
          <w:p>
            <w:pPr>
              <w:snapToGrid w:val="0"/>
              <w:spacing w:line="540" w:lineRule="exact"/>
              <w:ind w:firstLine="480"/>
              <w:jc w:val="center"/>
              <w:rPr>
                <w:rFonts w:cs="宋体" w:asciiTheme="minorEastAsia" w:hAnsiTheme="minorEastAsia"/>
                <w:bCs/>
                <w:color w:val="auto"/>
              </w:rPr>
            </w:pPr>
          </w:p>
        </w:tc>
        <w:tc>
          <w:tcPr>
            <w:tcW w:w="851" w:type="dxa"/>
            <w:vAlign w:val="center"/>
          </w:tcPr>
          <w:p>
            <w:pPr>
              <w:snapToGrid w:val="0"/>
              <w:spacing w:line="540" w:lineRule="exact"/>
              <w:ind w:firstLine="480"/>
              <w:jc w:val="center"/>
              <w:rPr>
                <w:rFonts w:cs="宋体" w:asciiTheme="minorEastAsia" w:hAnsiTheme="min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restart"/>
            <w:vAlign w:val="center"/>
          </w:tcPr>
          <w:p>
            <w:pPr>
              <w:snapToGrid w:val="0"/>
              <w:spacing w:line="540" w:lineRule="exact"/>
              <w:ind w:firstLine="199" w:firstLineChars="83"/>
              <w:rPr>
                <w:rFonts w:cs="宋体" w:asciiTheme="minorEastAsia" w:hAnsiTheme="minorEastAsia"/>
                <w:color w:val="auto"/>
              </w:rPr>
            </w:pPr>
            <w:r>
              <w:rPr>
                <w:rFonts w:hint="eastAsia" w:cs="宋体" w:asciiTheme="minorEastAsia" w:hAnsiTheme="minorEastAsia"/>
                <w:color w:val="auto"/>
              </w:rPr>
              <w:t>9</w:t>
            </w:r>
          </w:p>
        </w:tc>
        <w:tc>
          <w:tcPr>
            <w:tcW w:w="1134" w:type="dxa"/>
            <w:vMerge w:val="restart"/>
            <w:vAlign w:val="center"/>
          </w:tcPr>
          <w:p>
            <w:pPr>
              <w:autoSpaceDE w:val="0"/>
              <w:autoSpaceDN w:val="0"/>
              <w:snapToGrid w:val="0"/>
              <w:spacing w:line="540" w:lineRule="exact"/>
              <w:ind w:left="80" w:right="40" w:firstLine="0" w:firstLineChars="0"/>
              <w:rPr>
                <w:rFonts w:cs="宋体" w:asciiTheme="minorEastAsia" w:hAnsiTheme="minorEastAsia"/>
                <w:color w:val="auto"/>
              </w:rPr>
            </w:pPr>
            <w:r>
              <w:rPr>
                <w:rFonts w:hint="eastAsia" w:cs="宋体" w:asciiTheme="minorEastAsia" w:hAnsiTheme="minorEastAsia"/>
                <w:color w:val="auto"/>
                <w:lang w:val="zh-CN"/>
              </w:rPr>
              <w:t>孔洞预留</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bookmarkStart w:id="7" w:name="_Hlk489971916"/>
            <w:r>
              <w:rPr>
                <w:rFonts w:hint="eastAsia" w:cs="宋体" w:asciiTheme="minorEastAsia" w:hAnsiTheme="minorEastAsia"/>
                <w:color w:val="auto"/>
              </w:rPr>
              <w:t>提供孔洞预留模型及孔洞预留方案。模型内容详实，孔洞预留位置准确，孔洞预留方案全面详实，切实可行，能应用于施工。</w:t>
            </w:r>
            <w:bookmarkEnd w:id="7"/>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提供孔洞预留模型及孔洞预留方案。模型内容详实，孔洞预留位置准确，孔洞预留方案有助于施工实施。</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提供孔洞预留模型，孔洞位置预留准确，孔洞预留方案不清晰。</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投标方案里仅提供孔洞预留模型，没有孔洞预留方案。</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3</w:t>
            </w:r>
          </w:p>
        </w:tc>
        <w:tc>
          <w:tcPr>
            <w:tcW w:w="709" w:type="dxa"/>
            <w:vMerge w:val="restart"/>
            <w:vAlign w:val="center"/>
          </w:tcPr>
          <w:p>
            <w:pPr>
              <w:snapToGrid w:val="0"/>
              <w:spacing w:line="540" w:lineRule="exact"/>
              <w:ind w:firstLine="0" w:firstLineChars="0"/>
              <w:jc w:val="left"/>
              <w:rPr>
                <w:rFonts w:cs="宋体" w:asciiTheme="minorEastAsia" w:hAnsiTheme="minorEastAsia"/>
                <w:color w:val="auto"/>
              </w:rPr>
            </w:pPr>
            <w:r>
              <w:rPr>
                <w:rFonts w:hint="eastAsia" w:cs="宋体" w:asciiTheme="minorEastAsia" w:hAnsiTheme="minorEastAsia"/>
                <w:color w:val="auto"/>
                <w:lang w:val="zh-CN"/>
              </w:rPr>
              <w:t>施工模拟</w:t>
            </w: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13</w:t>
            </w:r>
          </w:p>
        </w:tc>
        <w:tc>
          <w:tcPr>
            <w:tcW w:w="1134" w:type="dxa"/>
            <w:vMerge w:val="restart"/>
            <w:vAlign w:val="center"/>
          </w:tcPr>
          <w:p>
            <w:pPr>
              <w:autoSpaceDE w:val="0"/>
              <w:autoSpaceDN w:val="0"/>
              <w:snapToGrid w:val="0"/>
              <w:spacing w:line="540" w:lineRule="exact"/>
              <w:ind w:left="80" w:right="40" w:firstLine="0" w:firstLineChars="0"/>
              <w:jc w:val="left"/>
              <w:rPr>
                <w:rFonts w:cs="宋体" w:asciiTheme="minorEastAsia" w:hAnsiTheme="minorEastAsia"/>
                <w:color w:val="auto"/>
              </w:rPr>
            </w:pPr>
            <w:r>
              <w:rPr>
                <w:rFonts w:hint="eastAsia" w:cs="宋体" w:asciiTheme="minorEastAsia" w:hAnsiTheme="minorEastAsia"/>
                <w:color w:val="auto"/>
                <w:lang w:val="zh-CN"/>
              </w:rPr>
              <w:t>施工进度模拟</w:t>
            </w:r>
            <w:r>
              <w:rPr>
                <w:rFonts w:hint="eastAsia" w:cs="宋体" w:asciiTheme="minorEastAsia" w:hAnsiTheme="minorEastAsia"/>
                <w:color w:val="auto"/>
              </w:rPr>
              <w:t>【★】</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进度计划合理可行，能够以专业、楼层、流水段、构件类型等维度进行动态模拟，模拟过程可以动态展示施工任务信息，施工过程演示详细、突出。</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进度计划合理可行，能够以专业、楼层、流水段、构件类型等维度进行动态模拟，模拟过程可以动态展示施工任务信息。</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进度计划基本合理，能进行动态模拟，模拟过程可以动态展示施工任务信息。</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施工进度模拟展示不充分。</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10</w:t>
            </w:r>
          </w:p>
        </w:tc>
        <w:tc>
          <w:tcPr>
            <w:tcW w:w="1134"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lang w:val="zh-CN"/>
              </w:rPr>
              <w:t>重难点工艺动画展示</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能结合本项目施工的重难点部位进行工艺动画展示，展示内容能体现先进性，且切实可行。</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能结合本项目施工的重难点部位，进行工艺动画展示，展示内容切实可行。</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能进行工艺动画展示，展示内容可行。</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重难点工艺动画展示内容不充分。</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4</w:t>
            </w: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lang w:val="zh-CN"/>
              </w:rPr>
              <w:t>成本管理</w:t>
            </w:r>
          </w:p>
        </w:tc>
        <w:tc>
          <w:tcPr>
            <w:tcW w:w="709" w:type="dxa"/>
            <w:vMerge w:val="restart"/>
            <w:vAlign w:val="center"/>
          </w:tcPr>
          <w:p>
            <w:pPr>
              <w:snapToGrid w:val="0"/>
              <w:spacing w:line="540" w:lineRule="exact"/>
              <w:ind w:firstLine="199" w:firstLineChars="83"/>
              <w:rPr>
                <w:rFonts w:cs="宋体" w:asciiTheme="minorEastAsia" w:hAnsiTheme="minorEastAsia"/>
                <w:color w:val="auto"/>
              </w:rPr>
            </w:pPr>
            <w:r>
              <w:rPr>
                <w:rFonts w:hint="eastAsia" w:cs="宋体" w:asciiTheme="minorEastAsia" w:hAnsiTheme="minorEastAsia"/>
                <w:color w:val="auto"/>
              </w:rPr>
              <w:t>9</w:t>
            </w:r>
          </w:p>
        </w:tc>
        <w:tc>
          <w:tcPr>
            <w:tcW w:w="1134" w:type="dxa"/>
            <w:vMerge w:val="restart"/>
            <w:vAlign w:val="center"/>
          </w:tcPr>
          <w:p>
            <w:pPr>
              <w:snapToGrid w:val="0"/>
              <w:spacing w:line="540" w:lineRule="exact"/>
              <w:ind w:firstLine="0" w:firstLineChars="0"/>
              <w:rPr>
                <w:rFonts w:cs="宋体" w:asciiTheme="minorEastAsia" w:hAnsiTheme="minorEastAsia"/>
                <w:color w:val="auto"/>
                <w:lang w:val="zh-CN"/>
              </w:rPr>
            </w:pPr>
            <w:r>
              <w:rPr>
                <w:rFonts w:hint="eastAsia" w:cs="宋体" w:asciiTheme="minorEastAsia" w:hAnsiTheme="minorEastAsia"/>
                <w:color w:val="auto"/>
                <w:lang w:val="zh-CN"/>
              </w:rPr>
              <w:t>施工图预算与模型关联</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可提供清单与实体模型关联，并可提供其他费用项与时间关联，关联关系准确，数据清晰。可以按照时间、楼层、流水段、构建类型等维度自定义查看预算。</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可提供清单与实体模型关联，关联关系准确，数据清晰。可以按照时间、楼层、流水段、构建类型等维度自定义查看预算。</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可提供清单与实体模型关联，且关联关系准确，数据清晰。可以按照时间周期或楼层查看预算。</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199" w:firstLineChars="83"/>
              <w:jc w:val="center"/>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可提供部分预算清单与模型关联或者无法提供预算清单与模型关联。可以按模型范围查看预算。</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10</w:t>
            </w:r>
          </w:p>
        </w:tc>
        <w:tc>
          <w:tcPr>
            <w:tcW w:w="1134" w:type="dxa"/>
            <w:vMerge w:val="restart"/>
            <w:vAlign w:val="center"/>
          </w:tcPr>
          <w:p>
            <w:pPr>
              <w:snapToGrid w:val="0"/>
              <w:spacing w:line="540" w:lineRule="exact"/>
              <w:ind w:firstLine="0" w:firstLineChars="0"/>
              <w:jc w:val="left"/>
              <w:rPr>
                <w:rFonts w:cs="宋体" w:asciiTheme="minorEastAsia" w:hAnsiTheme="minorEastAsia"/>
                <w:color w:val="auto"/>
              </w:rPr>
            </w:pPr>
            <w:r>
              <w:rPr>
                <w:rFonts w:hint="eastAsia" w:cs="宋体" w:asciiTheme="minorEastAsia" w:hAnsiTheme="minorEastAsia"/>
                <w:color w:val="auto"/>
                <w:lang w:val="zh-CN"/>
              </w:rPr>
              <w:t>施工资金资源需求展示</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可以在模型中提取实体的资金需求和钢筋、混凝土需求数据，数据信息准确。能通过曲线图等方式在模型中进行关键时间节点处的资金、资源的比对和分析，并提供项目全周期的资金资源计划汇总表。</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可以在模型中显示实体的资金需求和钢筋、混凝土需求数据，数据信息准确。能通过曲线图等方式在模型中进行关键时间节点处的部分资金、资源的比对和分析。</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可以在模型中显示实体的资金需求和钢筋、混凝土需求数据，数据信息准确。</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只能提供资源投入计划的相关报表，不能提供基于模型的对应资金和资源投入信息。</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5</w:t>
            </w: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lang w:val="zh-CN"/>
              </w:rPr>
              <w:t>专项方案</w:t>
            </w: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12</w:t>
            </w:r>
          </w:p>
        </w:tc>
        <w:tc>
          <w:tcPr>
            <w:tcW w:w="1134"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lang w:val="zh-CN"/>
              </w:rPr>
              <w:t>场地布置方案</w:t>
            </w:r>
            <w:r>
              <w:rPr>
                <w:rFonts w:hint="eastAsia" w:cs="宋体" w:asciiTheme="minorEastAsia" w:hAnsiTheme="minorEastAsia"/>
                <w:color w:val="auto"/>
              </w:rPr>
              <w:t>【★】</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够提供项目不同阶段的场地模型，模型包括临建板房、场区大门、道路、大型机械设备（含塔吊、施工电梯）、现场监控布设等要素。场地方案布置合理，符合各项质量安全管理制度和规定，提供方案设计说明，设计说明表述清晰，设计思路合理。</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能够提供项目不同阶段的场地模型，模型包括实体模型、临建板房、道路和在场机械等要素，场地方案布置合理，符合各项质量安全管理制度和规定。</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能够提供场地模型，模型包括实体模型、临建板房、道路和在场机械等要素，现场布置方案布置符合各项质量安全管理制度和规定。</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能够提供场地模型，模型包括实体模型、临建板房和道路等要素，可以基本反映现场布置方案。</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left"/>
              <w:rPr>
                <w:rFonts w:cs="宋体" w:asciiTheme="minorEastAsia" w:hAnsiTheme="minorEastAsia"/>
                <w:color w:val="auto"/>
              </w:rPr>
            </w:pPr>
          </w:p>
        </w:tc>
        <w:tc>
          <w:tcPr>
            <w:tcW w:w="709"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10</w:t>
            </w:r>
          </w:p>
        </w:tc>
        <w:tc>
          <w:tcPr>
            <w:tcW w:w="1134" w:type="dxa"/>
            <w:vMerge w:val="restart"/>
            <w:vAlign w:val="center"/>
          </w:tcPr>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lang w:val="zh-CN"/>
              </w:rPr>
              <w:t>架体专项方案</w:t>
            </w: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优</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(85%～100%，含85%）</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模板脚手架方案内容详实，能够进行模板脚手架搭设模型呈现；能够提供关键节点三维图示、二维详图，安全计算书完整合规，安全预案充分</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良</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(70%～85%，含70%）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模板脚手架方案内容详实，能够进行模板脚手架搭设模型呈现；能够提供关键节点三维图示、二维详图，安全预案充分</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中</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(60%～70%，含60%）</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模板脚手架方案内容详实，能够进行模板脚手架搭设模型呈现；能够提供关键节点三维图示、二维详图</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62"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709" w:type="dxa"/>
            <w:vMerge w:val="continue"/>
            <w:vAlign w:val="center"/>
          </w:tcPr>
          <w:p>
            <w:pPr>
              <w:snapToGrid w:val="0"/>
              <w:spacing w:line="540" w:lineRule="exact"/>
              <w:ind w:firstLine="480"/>
              <w:jc w:val="center"/>
              <w:rPr>
                <w:rFonts w:cs="宋体" w:asciiTheme="minorEastAsia" w:hAnsiTheme="minorEastAsia"/>
                <w:color w:val="auto"/>
              </w:rPr>
            </w:pPr>
          </w:p>
        </w:tc>
        <w:tc>
          <w:tcPr>
            <w:tcW w:w="1134" w:type="dxa"/>
            <w:vMerge w:val="continue"/>
            <w:vAlign w:val="center"/>
          </w:tcPr>
          <w:p>
            <w:pPr>
              <w:snapToGrid w:val="0"/>
              <w:spacing w:line="540" w:lineRule="exact"/>
              <w:ind w:firstLine="480"/>
              <w:jc w:val="center"/>
              <w:rPr>
                <w:rFonts w:cs="宋体" w:asciiTheme="minorEastAsia" w:hAnsiTheme="minorEastAsia"/>
                <w:color w:val="auto"/>
              </w:rPr>
            </w:pPr>
          </w:p>
        </w:tc>
        <w:tc>
          <w:tcPr>
            <w:tcW w:w="2410" w:type="dxa"/>
            <w:vAlign w:val="center"/>
          </w:tcPr>
          <w:p>
            <w:pPr>
              <w:snapToGrid w:val="0"/>
              <w:spacing w:line="540" w:lineRule="exact"/>
              <w:ind w:firstLine="0" w:firstLineChars="0"/>
              <w:jc w:val="center"/>
              <w:rPr>
                <w:rFonts w:cs="宋体" w:asciiTheme="minorEastAsia" w:hAnsiTheme="minorEastAsia"/>
                <w:color w:val="auto"/>
              </w:rPr>
            </w:pPr>
            <w:r>
              <w:rPr>
                <w:rFonts w:hint="eastAsia" w:cs="宋体" w:asciiTheme="minorEastAsia" w:hAnsiTheme="minorEastAsia"/>
                <w:color w:val="auto"/>
              </w:rPr>
              <w:t>差</w:t>
            </w:r>
          </w:p>
          <w:p>
            <w:pPr>
              <w:snapToGrid w:val="0"/>
              <w:spacing w:line="540" w:lineRule="exact"/>
              <w:ind w:firstLine="0" w:firstLineChars="0"/>
              <w:rPr>
                <w:rFonts w:cs="宋体" w:asciiTheme="minorEastAsia" w:hAnsiTheme="minorEastAsia"/>
                <w:color w:val="auto"/>
              </w:rPr>
            </w:pPr>
            <w:r>
              <w:rPr>
                <w:rFonts w:hint="eastAsia" w:cs="宋体" w:asciiTheme="minorEastAsia" w:hAnsiTheme="minorEastAsia"/>
                <w:color w:val="auto"/>
              </w:rPr>
              <w:t>60%以下</w:t>
            </w:r>
          </w:p>
        </w:tc>
        <w:tc>
          <w:tcPr>
            <w:tcW w:w="7654" w:type="dxa"/>
            <w:vAlign w:val="center"/>
          </w:tcPr>
          <w:p>
            <w:pPr>
              <w:snapToGrid w:val="0"/>
              <w:spacing w:line="540" w:lineRule="exact"/>
              <w:ind w:firstLine="480"/>
              <w:rPr>
                <w:rFonts w:cs="宋体" w:asciiTheme="minorEastAsia" w:hAnsiTheme="minorEastAsia"/>
                <w:color w:val="auto"/>
              </w:rPr>
            </w:pPr>
            <w:r>
              <w:rPr>
                <w:rFonts w:hint="eastAsia" w:cs="宋体" w:asciiTheme="minorEastAsia" w:hAnsiTheme="minorEastAsia"/>
                <w:color w:val="auto"/>
              </w:rPr>
              <w:t>模板脚手架设计方案内容简单，关键节点图示不完整，计算书缺失或者计算不合规</w:t>
            </w: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71" w:type="dxa"/>
            <w:gridSpan w:val="2"/>
            <w:vAlign w:val="center"/>
          </w:tcPr>
          <w:p>
            <w:pPr>
              <w:snapToGrid w:val="0"/>
              <w:spacing w:line="540" w:lineRule="exact"/>
              <w:ind w:firstLine="480"/>
              <w:jc w:val="center"/>
              <w:rPr>
                <w:rFonts w:cs="宋体" w:asciiTheme="minorEastAsia" w:hAnsiTheme="minorEastAsia"/>
                <w:bCs/>
                <w:color w:val="auto"/>
              </w:rPr>
            </w:pPr>
            <w:r>
              <w:rPr>
                <w:rFonts w:hint="eastAsia" w:cs="宋体" w:asciiTheme="minorEastAsia" w:hAnsiTheme="minorEastAsia"/>
                <w:bCs/>
                <w:color w:val="auto"/>
              </w:rPr>
              <w:t>合计</w:t>
            </w:r>
          </w:p>
        </w:tc>
        <w:tc>
          <w:tcPr>
            <w:tcW w:w="709" w:type="dxa"/>
            <w:vAlign w:val="center"/>
          </w:tcPr>
          <w:p>
            <w:pPr>
              <w:snapToGrid w:val="0"/>
              <w:spacing w:line="540" w:lineRule="exact"/>
              <w:ind w:firstLine="0" w:firstLineChars="0"/>
              <w:rPr>
                <w:rFonts w:cs="宋体" w:asciiTheme="minorEastAsia" w:hAnsiTheme="minorEastAsia"/>
                <w:bCs/>
                <w:color w:val="auto"/>
              </w:rPr>
            </w:pPr>
            <w:r>
              <w:rPr>
                <w:rFonts w:hint="eastAsia" w:cs="宋体" w:asciiTheme="minorEastAsia" w:hAnsiTheme="minorEastAsia"/>
                <w:bCs/>
                <w:color w:val="auto"/>
              </w:rPr>
              <w:t>100</w:t>
            </w:r>
          </w:p>
        </w:tc>
        <w:tc>
          <w:tcPr>
            <w:tcW w:w="1134" w:type="dxa"/>
            <w:vAlign w:val="center"/>
          </w:tcPr>
          <w:p>
            <w:pPr>
              <w:snapToGrid w:val="0"/>
              <w:spacing w:line="540" w:lineRule="exact"/>
              <w:ind w:firstLine="480"/>
              <w:jc w:val="center"/>
              <w:rPr>
                <w:rFonts w:cs="宋体" w:asciiTheme="minorEastAsia" w:hAnsiTheme="minorEastAsia"/>
                <w:bCs/>
                <w:color w:val="auto"/>
              </w:rPr>
            </w:pPr>
          </w:p>
        </w:tc>
        <w:tc>
          <w:tcPr>
            <w:tcW w:w="2410" w:type="dxa"/>
            <w:vAlign w:val="center"/>
          </w:tcPr>
          <w:p>
            <w:pPr>
              <w:snapToGrid w:val="0"/>
              <w:spacing w:line="540" w:lineRule="exact"/>
              <w:ind w:firstLine="480"/>
              <w:jc w:val="center"/>
              <w:rPr>
                <w:rFonts w:cs="宋体" w:asciiTheme="minorEastAsia" w:hAnsiTheme="minorEastAsia"/>
                <w:color w:val="auto"/>
              </w:rPr>
            </w:pPr>
          </w:p>
        </w:tc>
        <w:tc>
          <w:tcPr>
            <w:tcW w:w="7654" w:type="dxa"/>
            <w:vAlign w:val="center"/>
          </w:tcPr>
          <w:p>
            <w:pPr>
              <w:snapToGrid w:val="0"/>
              <w:spacing w:line="540" w:lineRule="exact"/>
              <w:ind w:firstLine="480"/>
              <w:rPr>
                <w:rFonts w:cs="宋体" w:asciiTheme="minorEastAsia" w:hAnsiTheme="minorEastAsia"/>
                <w:color w:val="auto"/>
              </w:rPr>
            </w:pPr>
          </w:p>
        </w:tc>
        <w:tc>
          <w:tcPr>
            <w:tcW w:w="709" w:type="dxa"/>
            <w:vAlign w:val="center"/>
          </w:tcPr>
          <w:p>
            <w:pPr>
              <w:snapToGrid w:val="0"/>
              <w:spacing w:line="540" w:lineRule="exact"/>
              <w:ind w:firstLine="480"/>
              <w:jc w:val="center"/>
              <w:rPr>
                <w:rFonts w:cs="宋体" w:asciiTheme="minorEastAsia" w:hAnsiTheme="minorEastAsia"/>
                <w:color w:val="auto"/>
              </w:rPr>
            </w:pPr>
          </w:p>
        </w:tc>
        <w:tc>
          <w:tcPr>
            <w:tcW w:w="850" w:type="dxa"/>
            <w:vAlign w:val="center"/>
          </w:tcPr>
          <w:p>
            <w:pPr>
              <w:snapToGrid w:val="0"/>
              <w:spacing w:line="540" w:lineRule="exact"/>
              <w:ind w:firstLine="480"/>
              <w:jc w:val="center"/>
              <w:rPr>
                <w:rFonts w:cs="宋体" w:asciiTheme="minorEastAsia" w:hAnsiTheme="minorEastAsia"/>
                <w:color w:val="auto"/>
              </w:rPr>
            </w:pPr>
          </w:p>
        </w:tc>
        <w:tc>
          <w:tcPr>
            <w:tcW w:w="851" w:type="dxa"/>
            <w:vAlign w:val="center"/>
          </w:tcPr>
          <w:p>
            <w:pPr>
              <w:snapToGrid w:val="0"/>
              <w:spacing w:line="540" w:lineRule="exact"/>
              <w:ind w:firstLine="480"/>
              <w:jc w:val="center"/>
              <w:rPr>
                <w:rFonts w:cs="宋体" w:asciiTheme="minorEastAsia" w:hAnsiTheme="minorEastAsia"/>
                <w:color w:val="auto"/>
              </w:rPr>
            </w:pPr>
          </w:p>
        </w:tc>
      </w:tr>
    </w:tbl>
    <w:p>
      <w:pPr>
        <w:spacing w:line="540" w:lineRule="exact"/>
        <w:ind w:firstLine="480"/>
        <w:rPr>
          <w:rFonts w:ascii="宋体" w:hAnsi="宋体" w:eastAsia="宋体" w:cs="宋体"/>
          <w:color w:val="auto"/>
        </w:rPr>
      </w:pPr>
      <w:r>
        <w:rPr>
          <w:rFonts w:hint="eastAsia" w:ascii="宋体" w:hAnsi="宋体" w:eastAsia="宋体" w:cs="宋体"/>
          <w:color w:val="auto"/>
        </w:rPr>
        <w:t>备注：</w:t>
      </w:r>
    </w:p>
    <w:p>
      <w:pPr>
        <w:spacing w:line="540" w:lineRule="exact"/>
        <w:ind w:firstLine="240" w:firstLineChars="100"/>
        <w:rPr>
          <w:rFonts w:ascii="宋体" w:hAnsi="宋体" w:eastAsia="宋体" w:cs="宋体"/>
          <w:color w:val="auto"/>
          <w:sz w:val="21"/>
          <w:szCs w:val="21"/>
        </w:rPr>
      </w:pPr>
      <w:r>
        <w:rPr>
          <w:rFonts w:hint="eastAsia" w:ascii="宋体" w:hAnsi="宋体" w:eastAsia="宋体" w:cs="宋体"/>
          <w:color w:val="auto"/>
        </w:rPr>
        <w:t xml:space="preserve"> </w:t>
      </w:r>
      <w:r>
        <w:rPr>
          <w:rFonts w:hint="eastAsia" w:ascii="宋体" w:hAnsi="宋体" w:eastAsia="宋体" w:cs="宋体"/>
          <w:color w:val="auto"/>
          <w:sz w:val="21"/>
          <w:szCs w:val="21"/>
        </w:rPr>
        <w:t xml:space="preserve"> 施工组织设计评审和评分说明：</w:t>
      </w:r>
    </w:p>
    <w:p>
      <w:pPr>
        <w:spacing w:line="540" w:lineRule="exact"/>
        <w:ind w:left="426" w:firstLine="0" w:firstLineChars="0"/>
        <w:rPr>
          <w:rFonts w:ascii="宋体" w:hAnsi="宋体" w:eastAsia="宋体" w:cs="宋体"/>
          <w:color w:val="auto"/>
          <w:sz w:val="21"/>
          <w:szCs w:val="21"/>
        </w:rPr>
      </w:pPr>
      <w:r>
        <w:rPr>
          <w:rFonts w:hint="eastAsia" w:ascii="宋体" w:hAnsi="宋体" w:eastAsia="宋体" w:cs="宋体"/>
          <w:color w:val="auto"/>
          <w:sz w:val="21"/>
          <w:szCs w:val="21"/>
        </w:rPr>
        <w:t>1.应用BIM技术的项目应单独编制项目施工阶段BIM实施方案。</w:t>
      </w:r>
    </w:p>
    <w:p>
      <w:pPr>
        <w:spacing w:line="540" w:lineRule="exact"/>
        <w:ind w:left="426" w:firstLine="0" w:firstLineChars="0"/>
        <w:rPr>
          <w:rFonts w:ascii="宋体" w:hAnsi="宋体" w:eastAsia="宋体" w:cs="宋体"/>
          <w:color w:val="auto"/>
          <w:sz w:val="21"/>
          <w:szCs w:val="21"/>
        </w:rPr>
      </w:pPr>
      <w:r>
        <w:rPr>
          <w:rFonts w:hint="eastAsia" w:ascii="宋体" w:hAnsi="宋体" w:eastAsia="宋体" w:cs="宋体"/>
          <w:color w:val="auto"/>
          <w:sz w:val="21"/>
          <w:szCs w:val="21"/>
        </w:rPr>
        <w:t>2.应用BIM技术评审的项目，施工组织设计部分占分30%，参照1.1评审，施工阶段BIM实施方案部分占分70%，参照1.2评审。</w:t>
      </w:r>
    </w:p>
    <w:p>
      <w:pPr>
        <w:spacing w:line="540" w:lineRule="exact"/>
        <w:ind w:firstLine="420"/>
        <w:rPr>
          <w:rFonts w:ascii="宋体" w:hAnsi="宋体" w:eastAsia="宋体" w:cs="宋体"/>
          <w:color w:val="auto"/>
          <w:sz w:val="21"/>
          <w:szCs w:val="21"/>
        </w:rPr>
      </w:pPr>
      <w:r>
        <w:rPr>
          <w:rFonts w:hint="eastAsia" w:ascii="宋体" w:hAnsi="宋体" w:eastAsia="宋体" w:cs="宋体"/>
          <w:color w:val="auto"/>
          <w:sz w:val="21"/>
          <w:szCs w:val="21"/>
        </w:rPr>
        <w:t>3.技术标中应当具有的项目缺项的，该项目为差，得分为0。</w:t>
      </w:r>
    </w:p>
    <w:p>
      <w:pPr>
        <w:spacing w:line="540" w:lineRule="exact"/>
        <w:ind w:firstLine="420"/>
        <w:rPr>
          <w:rFonts w:ascii="宋体" w:hAnsi="宋体" w:eastAsia="宋体" w:cs="宋体"/>
          <w:color w:val="auto"/>
          <w:sz w:val="21"/>
          <w:szCs w:val="21"/>
        </w:rPr>
      </w:pPr>
      <w:r>
        <w:rPr>
          <w:rFonts w:hint="eastAsia" w:ascii="宋体" w:hAnsi="宋体" w:eastAsia="宋体" w:cs="宋体"/>
          <w:color w:val="auto"/>
          <w:sz w:val="21"/>
          <w:szCs w:val="21"/>
        </w:rPr>
        <w:t>4.表中带★项为保证项目，保证项目如有一项及以上评审结果为差，其技术标得分为0。</w:t>
      </w:r>
    </w:p>
    <w:p>
      <w:pPr>
        <w:spacing w:line="540" w:lineRule="exact"/>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 xml:space="preserve">  5.不能作出平面布置的项目对1.1第5项,1.2第5项场地布置方案部分不作评审。</w:t>
      </w:r>
    </w:p>
    <w:p>
      <w:pPr>
        <w:spacing w:line="540" w:lineRule="exact"/>
        <w:ind w:firstLine="210" w:firstLineChars="100"/>
        <w:rPr>
          <w:rFonts w:ascii="宋体" w:hAnsi="宋体" w:cs="宋体"/>
          <w:b/>
          <w:bCs/>
          <w:color w:val="auto"/>
          <w:kern w:val="0"/>
          <w:sz w:val="21"/>
          <w:szCs w:val="21"/>
        </w:rPr>
      </w:pPr>
      <w:r>
        <w:rPr>
          <w:rFonts w:hint="eastAsia" w:ascii="宋体" w:hAnsi="宋体" w:eastAsia="宋体" w:cs="宋体"/>
          <w:color w:val="auto"/>
          <w:sz w:val="21"/>
          <w:szCs w:val="21"/>
        </w:rPr>
        <w:t xml:space="preserve">  6.</w:t>
      </w:r>
      <w:r>
        <w:rPr>
          <w:rFonts w:hint="eastAsia" w:ascii="宋体" w:hAnsi="宋体" w:cs="宋体"/>
          <w:color w:val="auto"/>
          <w:kern w:val="0"/>
          <w:sz w:val="21"/>
          <w:szCs w:val="21"/>
        </w:rPr>
        <w:t>应用</w:t>
      </w:r>
      <w:r>
        <w:rPr>
          <w:rFonts w:hint="eastAsia" w:ascii="宋体" w:hAnsi="宋体" w:eastAsia="宋体" w:cs="宋体"/>
          <w:color w:val="auto"/>
          <w:sz w:val="21"/>
          <w:szCs w:val="21"/>
        </w:rPr>
        <w:t>BIM技术的项目实施方案不合格，或得分为0的投标人不能进入商务标的评审、不能确定为有效投标人、不能推荐为中标候选人。</w:t>
      </w:r>
    </w:p>
    <w:p>
      <w:pPr>
        <w:spacing w:line="540" w:lineRule="exact"/>
        <w:ind w:firstLine="640"/>
        <w:jc w:val="left"/>
        <w:rPr>
          <w:rFonts w:ascii="宋体" w:hAnsi="宋体" w:eastAsia="宋体"/>
          <w:color w:val="auto"/>
          <w:sz w:val="32"/>
        </w:rPr>
      </w:pPr>
    </w:p>
    <w:p>
      <w:pPr>
        <w:spacing w:line="540" w:lineRule="exact"/>
        <w:ind w:firstLine="640"/>
        <w:jc w:val="left"/>
        <w:rPr>
          <w:rFonts w:ascii="宋体" w:hAnsi="宋体" w:eastAsia="宋体"/>
          <w:color w:val="auto"/>
          <w:sz w:val="32"/>
        </w:rPr>
      </w:pPr>
    </w:p>
    <w:p>
      <w:pPr>
        <w:spacing w:line="540" w:lineRule="exact"/>
        <w:ind w:firstLine="640"/>
        <w:jc w:val="left"/>
        <w:rPr>
          <w:rFonts w:ascii="宋体" w:hAnsi="宋体" w:eastAsia="宋体"/>
          <w:color w:val="auto"/>
          <w:sz w:val="32"/>
        </w:rPr>
      </w:pPr>
    </w:p>
    <w:p>
      <w:pPr>
        <w:spacing w:line="540" w:lineRule="exact"/>
        <w:ind w:firstLine="640"/>
        <w:jc w:val="left"/>
        <w:rPr>
          <w:rFonts w:ascii="宋体" w:hAnsi="宋体" w:eastAsia="宋体"/>
          <w:color w:val="auto"/>
          <w:sz w:val="32"/>
        </w:rPr>
      </w:pPr>
    </w:p>
    <w:p>
      <w:pPr>
        <w:spacing w:line="540" w:lineRule="exact"/>
        <w:ind w:firstLine="640"/>
        <w:jc w:val="left"/>
        <w:rPr>
          <w:rFonts w:ascii="宋体" w:hAnsi="宋体" w:eastAsia="宋体"/>
          <w:color w:val="auto"/>
          <w:sz w:val="32"/>
        </w:rPr>
      </w:pPr>
      <w:r>
        <w:rPr>
          <w:rFonts w:ascii="宋体" w:hAnsi="宋体" w:eastAsia="宋体"/>
          <w:color w:val="auto"/>
          <w:sz w:val="32"/>
        </w:rPr>
        <w:br w:type="page"/>
      </w:r>
    </w:p>
    <w:p>
      <w:pPr>
        <w:pStyle w:val="5"/>
        <w:spacing w:line="540" w:lineRule="exact"/>
        <w:ind w:firstLine="640"/>
        <w:jc w:val="center"/>
        <w:rPr>
          <w:rFonts w:ascii="黑体" w:hAnsi="黑体" w:eastAsia="黑体" w:cs="宋体"/>
          <w:b w:val="0"/>
          <w:color w:val="auto"/>
          <w:kern w:val="0"/>
          <w:sz w:val="32"/>
          <w:szCs w:val="32"/>
        </w:rPr>
      </w:pPr>
      <w:r>
        <w:rPr>
          <w:rFonts w:hint="eastAsia" w:ascii="楷体" w:hAnsi="楷体" w:eastAsia="楷体" w:cs="楷体"/>
          <w:b w:val="0"/>
          <w:color w:val="auto"/>
          <w:sz w:val="32"/>
          <w:szCs w:val="32"/>
        </w:rPr>
        <w:t>（二）项目管理机构评审和评分细则</w:t>
      </w:r>
      <w:r>
        <w:rPr>
          <w:rFonts w:hint="eastAsia" w:ascii="楷体" w:hAnsi="楷体" w:eastAsia="楷体" w:cs="楷体"/>
          <w:b w:val="0"/>
          <w:color w:val="auto"/>
          <w:kern w:val="0"/>
          <w:sz w:val="32"/>
          <w:szCs w:val="32"/>
        </w:rPr>
        <w:t>（权重6%</w:t>
      </w:r>
      <w:r>
        <w:rPr>
          <w:rFonts w:hint="eastAsia" w:ascii="黑体" w:hAnsi="黑体" w:eastAsia="黑体" w:cs="宋体"/>
          <w:b w:val="0"/>
          <w:color w:val="auto"/>
          <w:kern w:val="0"/>
          <w:sz w:val="32"/>
          <w:szCs w:val="32"/>
        </w:rPr>
        <w:t>）</w:t>
      </w:r>
    </w:p>
    <w:tbl>
      <w:tblPr>
        <w:tblStyle w:val="27"/>
        <w:tblW w:w="14698"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408"/>
        <w:gridCol w:w="3930"/>
        <w:gridCol w:w="1615"/>
        <w:gridCol w:w="123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5" w:type="dxa"/>
            <w:vAlign w:val="center"/>
          </w:tcPr>
          <w:p>
            <w:pPr>
              <w:snapToGrid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序号</w:t>
            </w:r>
          </w:p>
        </w:tc>
        <w:tc>
          <w:tcPr>
            <w:tcW w:w="5408" w:type="dxa"/>
            <w:vAlign w:val="center"/>
          </w:tcPr>
          <w:p>
            <w:pPr>
              <w:snapToGrid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项     目</w:t>
            </w:r>
          </w:p>
        </w:tc>
        <w:tc>
          <w:tcPr>
            <w:tcW w:w="5545" w:type="dxa"/>
            <w:gridSpan w:val="2"/>
            <w:vAlign w:val="center"/>
          </w:tcPr>
          <w:p>
            <w:pPr>
              <w:snapToGrid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评  审   标   准</w:t>
            </w:r>
          </w:p>
        </w:tc>
        <w:tc>
          <w:tcPr>
            <w:tcW w:w="1235" w:type="dxa"/>
            <w:vAlign w:val="center"/>
          </w:tcPr>
          <w:p>
            <w:pPr>
              <w:snapToGrid w:val="0"/>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评审计分</w:t>
            </w:r>
          </w:p>
        </w:tc>
        <w:tc>
          <w:tcPr>
            <w:tcW w:w="1655" w:type="dxa"/>
            <w:vAlign w:val="center"/>
          </w:tcPr>
          <w:p>
            <w:pPr>
              <w:snapToGrid w:val="0"/>
              <w:spacing w:line="540" w:lineRule="exact"/>
              <w:ind w:firstLine="480"/>
              <w:rPr>
                <w:rFonts w:asciiTheme="minorEastAsia" w:hAnsiTheme="minorEastAsia"/>
                <w:color w:val="auto"/>
                <w:szCs w:val="24"/>
              </w:rPr>
            </w:pPr>
            <w:r>
              <w:rPr>
                <w:rFonts w:hint="eastAsia" w:asciiTheme="minorEastAsia" w:hAnsiTheme="minorEastAsia"/>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5" w:type="dxa"/>
            <w:vMerge w:val="restart"/>
            <w:vAlign w:val="center"/>
          </w:tcPr>
          <w:p>
            <w:pPr>
              <w:snapToGrid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5408" w:type="dxa"/>
            <w:vMerge w:val="restart"/>
            <w:vAlign w:val="center"/>
          </w:tcPr>
          <w:p>
            <w:pPr>
              <w:snapToGrid w:val="0"/>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施工项目部岗位人员任职条件应符合招标文件要求，且项目负责人（建造师或具有风景园林职称资格人员）评审得分（权重6%）（按100分计）</w:t>
            </w:r>
          </w:p>
        </w:tc>
        <w:tc>
          <w:tcPr>
            <w:tcW w:w="3930" w:type="dxa"/>
            <w:vAlign w:val="center"/>
          </w:tcPr>
          <w:p>
            <w:pPr>
              <w:snapToGrid w:val="0"/>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w:t>
            </w:r>
            <w:r>
              <w:rPr>
                <w:rFonts w:hint="default" w:ascii="宋体" w:hAnsi="宋体" w:eastAsia="宋体" w:cs="宋体"/>
                <w:color w:val="auto"/>
                <w:kern w:val="0"/>
                <w:sz w:val="18"/>
                <w:szCs w:val="18"/>
                <w:lang w:val="en"/>
              </w:rPr>
              <w:t>A</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w:t>
            </w:r>
          </w:p>
        </w:tc>
        <w:tc>
          <w:tcPr>
            <w:tcW w:w="1615" w:type="dxa"/>
            <w:vAlign w:val="center"/>
          </w:tcPr>
          <w:p>
            <w:pPr>
              <w:snapToGrid w:val="0"/>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80%-100%，不含80%</w:t>
            </w:r>
          </w:p>
        </w:tc>
        <w:tc>
          <w:tcPr>
            <w:tcW w:w="1235" w:type="dxa"/>
          </w:tcPr>
          <w:p>
            <w:pPr>
              <w:snapToGrid w:val="0"/>
              <w:spacing w:line="540" w:lineRule="exact"/>
              <w:ind w:firstLine="480"/>
              <w:jc w:val="left"/>
              <w:rPr>
                <w:rFonts w:asciiTheme="minorEastAsia" w:hAnsiTheme="minorEastAsia"/>
                <w:color w:val="auto"/>
                <w:szCs w:val="24"/>
              </w:rPr>
            </w:pPr>
          </w:p>
        </w:tc>
        <w:tc>
          <w:tcPr>
            <w:tcW w:w="1655" w:type="dxa"/>
          </w:tcPr>
          <w:p>
            <w:pPr>
              <w:snapToGrid w:val="0"/>
              <w:spacing w:line="540" w:lineRule="exact"/>
              <w:ind w:firstLine="480"/>
              <w:jc w:val="left"/>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5" w:type="dxa"/>
            <w:vMerge w:val="continue"/>
            <w:vAlign w:val="center"/>
          </w:tcPr>
          <w:p>
            <w:pPr>
              <w:snapToGrid w:val="0"/>
              <w:spacing w:line="540" w:lineRule="exact"/>
              <w:ind w:firstLine="480"/>
              <w:jc w:val="center"/>
              <w:rPr>
                <w:rFonts w:asciiTheme="minorEastAsia" w:hAnsiTheme="minorEastAsia"/>
                <w:color w:val="auto"/>
                <w:szCs w:val="24"/>
              </w:rPr>
            </w:pPr>
          </w:p>
        </w:tc>
        <w:tc>
          <w:tcPr>
            <w:tcW w:w="5408" w:type="dxa"/>
            <w:vMerge w:val="continue"/>
            <w:vAlign w:val="center"/>
          </w:tcPr>
          <w:p>
            <w:pPr>
              <w:snapToGrid w:val="0"/>
              <w:spacing w:line="540" w:lineRule="exact"/>
              <w:ind w:firstLine="480"/>
              <w:jc w:val="left"/>
              <w:rPr>
                <w:rFonts w:asciiTheme="minorEastAsia" w:hAnsiTheme="minorEastAsia"/>
                <w:color w:val="auto"/>
                <w:szCs w:val="24"/>
              </w:rPr>
            </w:pPr>
          </w:p>
        </w:tc>
        <w:tc>
          <w:tcPr>
            <w:tcW w:w="3930" w:type="dxa"/>
            <w:vAlign w:val="center"/>
          </w:tcPr>
          <w:p>
            <w:pPr>
              <w:snapToGrid w:val="0"/>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w:t>
            </w:r>
            <w:r>
              <w:rPr>
                <w:rFonts w:hint="default" w:ascii="宋体" w:hAnsi="宋体" w:eastAsia="宋体" w:cs="宋体"/>
                <w:color w:val="auto"/>
                <w:kern w:val="0"/>
                <w:sz w:val="18"/>
                <w:szCs w:val="18"/>
                <w:lang w:val="en"/>
              </w:rPr>
              <w:t>B</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w:t>
            </w:r>
          </w:p>
        </w:tc>
        <w:tc>
          <w:tcPr>
            <w:tcW w:w="1615" w:type="dxa"/>
            <w:vAlign w:val="center"/>
          </w:tcPr>
          <w:p>
            <w:pPr>
              <w:snapToGrid w:val="0"/>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60%-80%，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含60%</w:t>
            </w:r>
          </w:p>
        </w:tc>
        <w:tc>
          <w:tcPr>
            <w:tcW w:w="1235" w:type="dxa"/>
          </w:tcPr>
          <w:p>
            <w:pPr>
              <w:snapToGrid w:val="0"/>
              <w:spacing w:line="540" w:lineRule="exact"/>
              <w:ind w:firstLine="480"/>
              <w:jc w:val="left"/>
              <w:rPr>
                <w:rFonts w:asciiTheme="minorEastAsia" w:hAnsiTheme="minorEastAsia"/>
                <w:color w:val="auto"/>
                <w:szCs w:val="24"/>
              </w:rPr>
            </w:pPr>
          </w:p>
        </w:tc>
        <w:tc>
          <w:tcPr>
            <w:tcW w:w="1655" w:type="dxa"/>
          </w:tcPr>
          <w:p>
            <w:pPr>
              <w:snapToGrid w:val="0"/>
              <w:spacing w:line="540" w:lineRule="exact"/>
              <w:ind w:firstLine="480"/>
              <w:jc w:val="left"/>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5" w:type="dxa"/>
            <w:vMerge w:val="continue"/>
            <w:vAlign w:val="center"/>
          </w:tcPr>
          <w:p>
            <w:pPr>
              <w:snapToGrid w:val="0"/>
              <w:spacing w:line="540" w:lineRule="exact"/>
              <w:ind w:firstLine="480"/>
              <w:jc w:val="center"/>
              <w:rPr>
                <w:rFonts w:asciiTheme="minorEastAsia" w:hAnsiTheme="minorEastAsia"/>
                <w:color w:val="auto"/>
                <w:szCs w:val="24"/>
              </w:rPr>
            </w:pPr>
          </w:p>
        </w:tc>
        <w:tc>
          <w:tcPr>
            <w:tcW w:w="5408" w:type="dxa"/>
            <w:vMerge w:val="continue"/>
            <w:vAlign w:val="center"/>
          </w:tcPr>
          <w:p>
            <w:pPr>
              <w:snapToGrid w:val="0"/>
              <w:spacing w:line="540" w:lineRule="exact"/>
              <w:ind w:firstLine="480"/>
              <w:jc w:val="left"/>
              <w:rPr>
                <w:rFonts w:asciiTheme="minorEastAsia" w:hAnsiTheme="minorEastAsia"/>
                <w:color w:val="auto"/>
                <w:szCs w:val="24"/>
              </w:rPr>
            </w:pPr>
          </w:p>
        </w:tc>
        <w:tc>
          <w:tcPr>
            <w:tcW w:w="3930" w:type="dxa"/>
            <w:vAlign w:val="center"/>
          </w:tcPr>
          <w:p>
            <w:pPr>
              <w:snapToGrid w:val="0"/>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w:t>
            </w:r>
            <w:r>
              <w:rPr>
                <w:rFonts w:hint="default" w:ascii="宋体" w:hAnsi="宋体" w:eastAsia="宋体" w:cs="宋体"/>
                <w:color w:val="auto"/>
                <w:kern w:val="0"/>
                <w:sz w:val="18"/>
                <w:szCs w:val="18"/>
                <w:lang w:val="en"/>
              </w:rPr>
              <w:t>C</w:t>
            </w:r>
            <w:r>
              <w:rPr>
                <w:rFonts w:hint="eastAsia" w:ascii="宋体" w:hAnsi="宋体" w:eastAsia="宋体" w:cs="宋体"/>
                <w:color w:val="auto"/>
                <w:kern w:val="0"/>
                <w:sz w:val="18"/>
                <w:szCs w:val="18"/>
                <w:lang w:val="en" w:eastAsia="zh-CN"/>
              </w:rPr>
              <w:t>级</w:t>
            </w:r>
            <w:r>
              <w:rPr>
                <w:rFonts w:hint="eastAsia" w:ascii="宋体" w:hAnsi="宋体" w:eastAsia="宋体" w:cs="宋体"/>
                <w:color w:val="auto"/>
                <w:kern w:val="0"/>
                <w:sz w:val="18"/>
                <w:szCs w:val="18"/>
              </w:rPr>
              <w:t>得分</w:t>
            </w:r>
          </w:p>
        </w:tc>
        <w:tc>
          <w:tcPr>
            <w:tcW w:w="1615" w:type="dxa"/>
            <w:vAlign w:val="center"/>
          </w:tcPr>
          <w:p>
            <w:pPr>
              <w:snapToGrid w:val="0"/>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40%-60%，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含40%</w:t>
            </w:r>
          </w:p>
        </w:tc>
        <w:tc>
          <w:tcPr>
            <w:tcW w:w="1235" w:type="dxa"/>
          </w:tcPr>
          <w:p>
            <w:pPr>
              <w:snapToGrid w:val="0"/>
              <w:spacing w:line="540" w:lineRule="exact"/>
              <w:ind w:firstLine="480"/>
              <w:jc w:val="left"/>
              <w:rPr>
                <w:rFonts w:asciiTheme="minorEastAsia" w:hAnsiTheme="minorEastAsia"/>
                <w:color w:val="auto"/>
                <w:szCs w:val="24"/>
              </w:rPr>
            </w:pPr>
          </w:p>
        </w:tc>
        <w:tc>
          <w:tcPr>
            <w:tcW w:w="1655" w:type="dxa"/>
          </w:tcPr>
          <w:p>
            <w:pPr>
              <w:snapToGrid w:val="0"/>
              <w:spacing w:line="540" w:lineRule="exact"/>
              <w:ind w:firstLine="480"/>
              <w:jc w:val="left"/>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5" w:type="dxa"/>
            <w:vMerge w:val="continue"/>
            <w:vAlign w:val="center"/>
          </w:tcPr>
          <w:p>
            <w:pPr>
              <w:snapToGrid w:val="0"/>
              <w:spacing w:line="540" w:lineRule="exact"/>
              <w:ind w:firstLine="480"/>
              <w:jc w:val="center"/>
              <w:rPr>
                <w:rFonts w:asciiTheme="minorEastAsia" w:hAnsiTheme="minorEastAsia"/>
                <w:color w:val="auto"/>
                <w:szCs w:val="24"/>
              </w:rPr>
            </w:pPr>
          </w:p>
        </w:tc>
        <w:tc>
          <w:tcPr>
            <w:tcW w:w="5408" w:type="dxa"/>
            <w:vMerge w:val="continue"/>
            <w:vAlign w:val="center"/>
          </w:tcPr>
          <w:p>
            <w:pPr>
              <w:snapToGrid w:val="0"/>
              <w:spacing w:line="540" w:lineRule="exact"/>
              <w:ind w:firstLine="480"/>
              <w:jc w:val="left"/>
              <w:rPr>
                <w:rFonts w:asciiTheme="minorEastAsia" w:hAnsiTheme="minorEastAsia"/>
                <w:color w:val="auto"/>
                <w:szCs w:val="24"/>
              </w:rPr>
            </w:pPr>
          </w:p>
        </w:tc>
        <w:tc>
          <w:tcPr>
            <w:tcW w:w="3930" w:type="dxa"/>
            <w:vAlign w:val="center"/>
          </w:tcPr>
          <w:p>
            <w:pPr>
              <w:snapToGrid w:val="0"/>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w:t>
            </w:r>
            <w:r>
              <w:rPr>
                <w:rFonts w:hint="eastAsia" w:ascii="宋体" w:hAnsi="宋体" w:eastAsia="宋体" w:cs="宋体"/>
                <w:color w:val="auto"/>
                <w:kern w:val="0"/>
                <w:sz w:val="18"/>
                <w:szCs w:val="18"/>
                <w:lang w:eastAsia="zh-CN"/>
              </w:rPr>
              <w:t>其他等级</w:t>
            </w:r>
            <w:r>
              <w:rPr>
                <w:rFonts w:hint="eastAsia" w:ascii="宋体" w:hAnsi="宋体" w:eastAsia="宋体" w:cs="宋体"/>
                <w:color w:val="auto"/>
                <w:kern w:val="0"/>
                <w:sz w:val="18"/>
                <w:szCs w:val="18"/>
              </w:rPr>
              <w:t>得分</w:t>
            </w:r>
          </w:p>
        </w:tc>
        <w:tc>
          <w:tcPr>
            <w:tcW w:w="1615" w:type="dxa"/>
            <w:vAlign w:val="center"/>
          </w:tcPr>
          <w:p>
            <w:pPr>
              <w:snapToGrid w:val="0"/>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0</w:t>
            </w:r>
          </w:p>
        </w:tc>
        <w:tc>
          <w:tcPr>
            <w:tcW w:w="1235" w:type="dxa"/>
          </w:tcPr>
          <w:p>
            <w:pPr>
              <w:snapToGrid w:val="0"/>
              <w:spacing w:line="540" w:lineRule="exact"/>
              <w:ind w:firstLine="480"/>
              <w:jc w:val="left"/>
              <w:rPr>
                <w:rFonts w:asciiTheme="minorEastAsia" w:hAnsiTheme="minorEastAsia"/>
                <w:color w:val="auto"/>
                <w:szCs w:val="24"/>
              </w:rPr>
            </w:pPr>
          </w:p>
        </w:tc>
        <w:tc>
          <w:tcPr>
            <w:tcW w:w="1655" w:type="dxa"/>
          </w:tcPr>
          <w:p>
            <w:pPr>
              <w:snapToGrid w:val="0"/>
              <w:spacing w:line="540" w:lineRule="exact"/>
              <w:ind w:firstLine="480"/>
              <w:jc w:val="left"/>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55" w:type="dxa"/>
            <w:vAlign w:val="center"/>
          </w:tcPr>
          <w:p>
            <w:pPr>
              <w:snapToGrid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2</w:t>
            </w:r>
          </w:p>
        </w:tc>
        <w:tc>
          <w:tcPr>
            <w:tcW w:w="10953" w:type="dxa"/>
            <w:gridSpan w:val="3"/>
            <w:vAlign w:val="center"/>
          </w:tcPr>
          <w:p>
            <w:pPr>
              <w:snapToGrid w:val="0"/>
              <w:spacing w:line="540" w:lineRule="exact"/>
              <w:ind w:firstLine="480"/>
              <w:jc w:val="left"/>
              <w:rPr>
                <w:rFonts w:hint="eastAsia" w:asciiTheme="minorEastAsia" w:hAnsiTheme="minorEastAsia" w:eastAsiaTheme="minorEastAsia"/>
                <w:color w:val="auto"/>
                <w:szCs w:val="24"/>
                <w:lang w:eastAsia="zh-CN"/>
              </w:rPr>
            </w:pPr>
            <w:r>
              <w:rPr>
                <w:rFonts w:hint="eastAsia" w:asciiTheme="minorEastAsia" w:hAnsiTheme="minorEastAsia"/>
                <w:color w:val="auto"/>
                <w:szCs w:val="24"/>
              </w:rPr>
              <w:t>投标人拟派的项目负责人在信用中国网存在不良行为记录的，每条直接从总得分中扣减2分，最多扣4分</w:t>
            </w:r>
            <w:r>
              <w:rPr>
                <w:rFonts w:hint="eastAsia" w:asciiTheme="minorEastAsia" w:hAnsiTheme="minorEastAsia"/>
                <w:color w:val="auto"/>
                <w:szCs w:val="24"/>
                <w:lang w:eastAsia="zh-CN"/>
              </w:rPr>
              <w:t>。</w:t>
            </w:r>
          </w:p>
        </w:tc>
        <w:tc>
          <w:tcPr>
            <w:tcW w:w="1235" w:type="dxa"/>
          </w:tcPr>
          <w:p>
            <w:pPr>
              <w:snapToGrid w:val="0"/>
              <w:spacing w:line="540" w:lineRule="exact"/>
              <w:ind w:firstLine="480"/>
              <w:jc w:val="left"/>
              <w:rPr>
                <w:rFonts w:asciiTheme="minorEastAsia" w:hAnsiTheme="minorEastAsia"/>
                <w:color w:val="auto"/>
                <w:szCs w:val="24"/>
              </w:rPr>
            </w:pPr>
          </w:p>
        </w:tc>
        <w:tc>
          <w:tcPr>
            <w:tcW w:w="1655" w:type="dxa"/>
          </w:tcPr>
          <w:p>
            <w:pPr>
              <w:snapToGrid w:val="0"/>
              <w:spacing w:line="540" w:lineRule="exact"/>
              <w:ind w:firstLine="480"/>
              <w:jc w:val="left"/>
              <w:rPr>
                <w:rFonts w:asciiTheme="minorEastAsia" w:hAnsiTheme="minorEastAsia"/>
                <w:color w:val="auto"/>
                <w:szCs w:val="24"/>
              </w:rPr>
            </w:pPr>
          </w:p>
        </w:tc>
      </w:tr>
    </w:tbl>
    <w:p>
      <w:pPr>
        <w:spacing w:line="540" w:lineRule="exact"/>
        <w:ind w:firstLine="480"/>
        <w:jc w:val="left"/>
        <w:rPr>
          <w:rFonts w:asciiTheme="minorEastAsia" w:hAnsiTheme="minorEastAsia"/>
          <w:b/>
          <w:bCs/>
          <w:color w:val="auto"/>
          <w:szCs w:val="24"/>
        </w:rPr>
      </w:pPr>
      <w:r>
        <w:rPr>
          <w:rFonts w:hint="eastAsia" w:asciiTheme="minorEastAsia" w:hAnsiTheme="minorEastAsia"/>
          <w:color w:val="auto"/>
          <w:szCs w:val="24"/>
        </w:rPr>
        <w:t xml:space="preserve">    </w:t>
      </w:r>
      <w:r>
        <w:rPr>
          <w:rFonts w:hint="eastAsia" w:asciiTheme="minorEastAsia" w:hAnsiTheme="minorEastAsia"/>
          <w:b/>
          <w:bCs/>
          <w:color w:val="auto"/>
          <w:szCs w:val="24"/>
        </w:rPr>
        <w:t xml:space="preserve"> </w:t>
      </w:r>
    </w:p>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备注：</w:t>
      </w:r>
    </w:p>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1.</w:t>
      </w:r>
      <w:r>
        <w:rPr>
          <w:rFonts w:hint="eastAsia" w:asciiTheme="minorEastAsia" w:hAnsiTheme="minorEastAsia"/>
          <w:color w:val="auto"/>
          <w:szCs w:val="24"/>
          <w:shd w:val="clear" w:color="auto" w:fill="FFFFFF"/>
        </w:rPr>
        <w:t>施工项目部</w:t>
      </w:r>
      <w:r>
        <w:rPr>
          <w:rFonts w:hint="eastAsia" w:asciiTheme="minorEastAsia" w:hAnsiTheme="minorEastAsia"/>
          <w:color w:val="auto"/>
          <w:szCs w:val="24"/>
        </w:rPr>
        <w:t>人员岗位证书应当以建设行政主管部门颁发的证书为准。</w:t>
      </w:r>
    </w:p>
    <w:p>
      <w:pPr>
        <w:spacing w:line="540" w:lineRule="exact"/>
        <w:ind w:firstLine="480"/>
        <w:jc w:val="left"/>
        <w:rPr>
          <w:rFonts w:hint="eastAsia" w:cs="宋体" w:asciiTheme="minorEastAsia" w:hAnsiTheme="minorEastAsia"/>
          <w:color w:val="auto"/>
          <w:szCs w:val="24"/>
          <w:lang w:eastAsia="zh-CN"/>
        </w:rPr>
      </w:pPr>
      <w:r>
        <w:rPr>
          <w:rFonts w:hint="eastAsia" w:asciiTheme="minorEastAsia" w:hAnsiTheme="minorEastAsia"/>
          <w:color w:val="auto"/>
          <w:szCs w:val="24"/>
        </w:rPr>
        <w:t>2.</w:t>
      </w:r>
      <w:r>
        <w:rPr>
          <w:rFonts w:hint="eastAsia" w:asciiTheme="minorEastAsia" w:hAnsiTheme="minorEastAsia"/>
          <w:color w:val="auto"/>
          <w:szCs w:val="24"/>
          <w:lang w:eastAsia="zh-CN"/>
        </w:rPr>
        <w:t>投标人</w:t>
      </w:r>
      <w:r>
        <w:rPr>
          <w:rFonts w:hint="eastAsia" w:asciiTheme="minorEastAsia" w:hAnsiTheme="minorEastAsia"/>
          <w:color w:val="auto"/>
          <w:szCs w:val="24"/>
        </w:rPr>
        <w:t>拟派的项目负责人</w:t>
      </w:r>
      <w:r>
        <w:rPr>
          <w:rFonts w:hint="eastAsia" w:asciiTheme="minorEastAsia" w:hAnsiTheme="minorEastAsia"/>
          <w:color w:val="auto"/>
          <w:szCs w:val="24"/>
          <w:lang w:eastAsia="zh-CN"/>
        </w:rPr>
        <w:t>信用评价等级</w:t>
      </w:r>
      <w:r>
        <w:rPr>
          <w:rFonts w:hint="eastAsia" w:asciiTheme="minorEastAsia" w:hAnsiTheme="minorEastAsia"/>
          <w:color w:val="auto"/>
          <w:szCs w:val="24"/>
        </w:rPr>
        <w:t>根据</w:t>
      </w:r>
      <w:r>
        <w:rPr>
          <w:rStyle w:val="30"/>
          <w:rFonts w:hint="eastAsia" w:cs="宋体" w:asciiTheme="minorEastAsia" w:hAnsiTheme="minorEastAsia"/>
          <w:color w:val="auto"/>
          <w:szCs w:val="24"/>
        </w:rPr>
        <w:t>《海南省建筑市场诚信评价管理办法</w:t>
      </w:r>
      <w:r>
        <w:rPr>
          <w:rStyle w:val="30"/>
          <w:rFonts w:hint="eastAsia" w:cs="宋体" w:asciiTheme="minorEastAsia" w:hAnsiTheme="minorEastAsia"/>
          <w:color w:val="auto"/>
          <w:szCs w:val="24"/>
          <w:lang w:eastAsia="zh-CN"/>
        </w:rPr>
        <w:t>及相关市场主体信用评价标准</w:t>
      </w:r>
      <w:r>
        <w:rPr>
          <w:rStyle w:val="30"/>
          <w:rFonts w:hint="eastAsia" w:cs="宋体" w:asciiTheme="minorEastAsia" w:hAnsiTheme="minorEastAsia"/>
          <w:color w:val="auto"/>
          <w:szCs w:val="24"/>
        </w:rPr>
        <w:t>》</w:t>
      </w:r>
      <w:r>
        <w:rPr>
          <w:rStyle w:val="30"/>
          <w:rFonts w:hint="eastAsia" w:cs="宋体" w:asciiTheme="minorEastAsia" w:hAnsiTheme="minorEastAsia"/>
          <w:b w:val="0"/>
          <w:bCs w:val="0"/>
          <w:color w:val="auto"/>
          <w:szCs w:val="24"/>
        </w:rPr>
        <w:t>（</w:t>
      </w:r>
      <w:r>
        <w:rPr>
          <w:rFonts w:hint="eastAsia" w:cs="宋体" w:asciiTheme="minorEastAsia" w:hAnsiTheme="minorEastAsia"/>
          <w:color w:val="auto"/>
          <w:szCs w:val="24"/>
        </w:rPr>
        <w:t>琼建管〔</w:t>
      </w:r>
      <w:r>
        <w:rPr>
          <w:rFonts w:hint="eastAsia" w:cs="宋体" w:asciiTheme="minorEastAsia" w:hAnsiTheme="minorEastAsia"/>
          <w:color w:val="auto"/>
          <w:szCs w:val="24"/>
          <w:lang w:val="en-US" w:eastAsia="zh-CN"/>
        </w:rPr>
        <w:t>2022</w:t>
      </w:r>
      <w:r>
        <w:rPr>
          <w:rFonts w:hint="eastAsia" w:cs="宋体" w:asciiTheme="minorEastAsia" w:hAnsiTheme="minorEastAsia"/>
          <w:color w:val="auto"/>
          <w:szCs w:val="24"/>
        </w:rPr>
        <w:t>〕</w:t>
      </w:r>
      <w:r>
        <w:rPr>
          <w:rFonts w:hint="eastAsia" w:cs="宋体" w:asciiTheme="minorEastAsia" w:hAnsiTheme="minorEastAsia"/>
          <w:color w:val="auto"/>
          <w:szCs w:val="24"/>
          <w:lang w:val="en-US" w:eastAsia="zh-CN"/>
        </w:rPr>
        <w:t>433</w:t>
      </w:r>
      <w:r>
        <w:rPr>
          <w:rFonts w:hint="eastAsia" w:cs="宋体" w:asciiTheme="minorEastAsia" w:hAnsiTheme="minorEastAsia"/>
          <w:color w:val="auto"/>
          <w:szCs w:val="24"/>
        </w:rPr>
        <w:t>号）</w:t>
      </w:r>
      <w:r>
        <w:rPr>
          <w:rFonts w:hint="eastAsia" w:cs="宋体" w:asciiTheme="minorEastAsia" w:hAnsiTheme="minorEastAsia"/>
          <w:color w:val="auto"/>
          <w:szCs w:val="24"/>
          <w:lang w:eastAsia="zh-CN"/>
        </w:rPr>
        <w:t>相关规定，以海南省建筑市场监管公共服务平台发布的评价结果为准。</w:t>
      </w:r>
    </w:p>
    <w:p>
      <w:pPr>
        <w:spacing w:line="540" w:lineRule="exact"/>
        <w:ind w:firstLine="480"/>
        <w:jc w:val="left"/>
        <w:rPr>
          <w:rFonts w:hint="eastAsia" w:cs="宋体" w:asciiTheme="minorEastAsia" w:hAnsiTheme="minorEastAsia"/>
          <w:color w:val="auto"/>
          <w:szCs w:val="24"/>
        </w:rPr>
      </w:pPr>
      <w:r>
        <w:rPr>
          <w:rFonts w:hint="eastAsia" w:cs="宋体" w:asciiTheme="minorEastAsia" w:hAnsiTheme="minorEastAsia"/>
          <w:color w:val="auto"/>
          <w:szCs w:val="24"/>
          <w:lang w:val="en-US" w:eastAsia="zh-CN"/>
        </w:rPr>
        <w:t>3.</w:t>
      </w:r>
      <w:r>
        <w:rPr>
          <w:rFonts w:hint="eastAsia" w:cs="宋体" w:asciiTheme="minorEastAsia" w:hAnsiTheme="minorEastAsia"/>
          <w:color w:val="auto"/>
          <w:szCs w:val="24"/>
        </w:rPr>
        <w:t>装配式建筑的施工项目部应符合管理装配式建筑方面的人才和团队。</w:t>
      </w:r>
    </w:p>
    <w:p>
      <w:pPr>
        <w:rPr>
          <w:rFonts w:ascii="方正楷体简体" w:hAnsi="方正楷体简体" w:eastAsia="方正楷体简体" w:cs="方正楷体简体"/>
          <w:color w:val="auto"/>
          <w:sz w:val="28"/>
          <w:szCs w:val="28"/>
        </w:rPr>
      </w:pPr>
      <w:r>
        <w:rPr>
          <w:rFonts w:ascii="方正楷体简体" w:hAnsi="方正楷体简体" w:eastAsia="方正楷体简体" w:cs="方正楷体简体"/>
          <w:color w:val="auto"/>
          <w:sz w:val="28"/>
          <w:szCs w:val="28"/>
        </w:rPr>
        <w:br w:type="page"/>
      </w:r>
    </w:p>
    <w:p>
      <w:pPr>
        <w:spacing w:line="540" w:lineRule="exact"/>
        <w:ind w:firstLine="0" w:firstLineChars="0"/>
        <w:jc w:val="left"/>
        <w:rPr>
          <w:rFonts w:ascii="方正楷体简体" w:hAnsi="方正楷体简体" w:eastAsia="方正楷体简体" w:cs="方正楷体简体"/>
          <w:color w:val="auto"/>
          <w:sz w:val="28"/>
          <w:szCs w:val="28"/>
        </w:rPr>
      </w:pPr>
    </w:p>
    <w:p>
      <w:pPr>
        <w:spacing w:line="540" w:lineRule="exact"/>
        <w:ind w:firstLine="0" w:firstLineChars="0"/>
        <w:jc w:val="center"/>
        <w:rPr>
          <w:rFonts w:ascii="宋体" w:hAnsi="宋体"/>
          <w:color w:val="auto"/>
          <w:sz w:val="32"/>
        </w:rPr>
      </w:pPr>
      <w:r>
        <w:rPr>
          <w:rFonts w:hint="eastAsia" w:ascii="楷体" w:hAnsi="楷体" w:eastAsia="楷体" w:cs="楷体"/>
          <w:color w:val="auto"/>
          <w:sz w:val="32"/>
          <w:szCs w:val="32"/>
        </w:rPr>
        <w:t>（三）企业诚信评价的评审和评分细则（权重1</w:t>
      </w:r>
      <w:r>
        <w:rPr>
          <w:rFonts w:hint="eastAsia" w:ascii="楷体" w:hAnsi="楷体" w:eastAsia="楷体" w:cs="楷体"/>
          <w:b/>
          <w:color w:val="auto"/>
          <w:sz w:val="32"/>
          <w:szCs w:val="32"/>
        </w:rPr>
        <w:t>0</w:t>
      </w:r>
      <w:r>
        <w:rPr>
          <w:rFonts w:hint="eastAsia" w:ascii="楷体" w:hAnsi="楷体" w:eastAsia="楷体" w:cs="楷体"/>
          <w:color w:val="auto"/>
          <w:sz w:val="32"/>
          <w:szCs w:val="32"/>
        </w:rPr>
        <w:t>%～</w:t>
      </w:r>
      <w:r>
        <w:rPr>
          <w:rFonts w:hint="eastAsia" w:ascii="楷体" w:hAnsi="楷体" w:eastAsia="楷体" w:cs="楷体"/>
          <w:b/>
          <w:color w:val="auto"/>
          <w:sz w:val="32"/>
          <w:szCs w:val="32"/>
        </w:rPr>
        <w:t>18</w:t>
      </w:r>
      <w:r>
        <w:rPr>
          <w:rFonts w:hint="eastAsia" w:ascii="楷体" w:hAnsi="楷体" w:eastAsia="楷体" w:cs="楷体"/>
          <w:color w:val="auto"/>
          <w:sz w:val="32"/>
          <w:szCs w:val="32"/>
        </w:rPr>
        <w:t>%，招标人在招标文件中确定）</w:t>
      </w:r>
    </w:p>
    <w:tbl>
      <w:tblPr>
        <w:tblStyle w:val="27"/>
        <w:tblpPr w:leftFromText="180" w:rightFromText="180" w:vertAnchor="text" w:horzAnchor="page" w:tblpX="1152" w:tblpY="152"/>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5123"/>
        <w:gridCol w:w="5402"/>
        <w:gridCol w:w="1535"/>
        <w:gridCol w:w="123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0" w:type="dxa"/>
            <w:vAlign w:val="center"/>
          </w:tcPr>
          <w:p>
            <w:pPr>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序号</w:t>
            </w:r>
          </w:p>
        </w:tc>
        <w:tc>
          <w:tcPr>
            <w:tcW w:w="5123"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项    目</w:t>
            </w:r>
          </w:p>
        </w:tc>
        <w:tc>
          <w:tcPr>
            <w:tcW w:w="6937" w:type="dxa"/>
            <w:gridSpan w:val="2"/>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评   审  标  准</w:t>
            </w:r>
          </w:p>
        </w:tc>
        <w:tc>
          <w:tcPr>
            <w:tcW w:w="1231" w:type="dxa"/>
            <w:vAlign w:val="center"/>
          </w:tcPr>
          <w:p>
            <w:pPr>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评审计分</w:t>
            </w:r>
          </w:p>
        </w:tc>
        <w:tc>
          <w:tcPr>
            <w:tcW w:w="914" w:type="dxa"/>
            <w:vAlign w:val="center"/>
          </w:tcPr>
          <w:p>
            <w:pPr>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0" w:type="dxa"/>
            <w:vMerge w:val="restart"/>
            <w:vAlign w:val="center"/>
          </w:tcPr>
          <w:p>
            <w:pPr>
              <w:spacing w:line="540" w:lineRule="exact"/>
              <w:ind w:firstLine="480"/>
              <w:rPr>
                <w:rFonts w:asciiTheme="minorEastAsia" w:hAnsiTheme="minorEastAsia"/>
                <w:b/>
                <w:bCs/>
                <w:color w:val="auto"/>
                <w:szCs w:val="24"/>
              </w:rPr>
            </w:pPr>
            <w:r>
              <w:rPr>
                <w:rFonts w:hint="eastAsia" w:asciiTheme="minorEastAsia" w:hAnsiTheme="minorEastAsia"/>
                <w:b/>
                <w:bCs/>
                <w:color w:val="auto"/>
                <w:szCs w:val="24"/>
              </w:rPr>
              <w:t>1</w:t>
            </w:r>
          </w:p>
        </w:tc>
        <w:tc>
          <w:tcPr>
            <w:tcW w:w="5123" w:type="dxa"/>
            <w:vMerge w:val="restart"/>
            <w:vAlign w:val="center"/>
          </w:tcPr>
          <w:p>
            <w:pPr>
              <w:spacing w:line="540" w:lineRule="exact"/>
              <w:ind w:firstLine="0" w:firstLineChars="0"/>
              <w:jc w:val="left"/>
              <w:rPr>
                <w:rFonts w:asciiTheme="minorEastAsia" w:hAnsiTheme="minorEastAsia"/>
                <w:color w:val="auto"/>
                <w:szCs w:val="24"/>
              </w:rPr>
            </w:pPr>
            <w:r>
              <w:rPr>
                <w:rFonts w:hint="eastAsia" w:cs="宋体" w:asciiTheme="minorEastAsia" w:hAnsiTheme="minorEastAsia"/>
                <w:color w:val="auto"/>
                <w:szCs w:val="24"/>
              </w:rPr>
              <w:t>投标人的企业诚信评价等级评审得分（</w:t>
            </w:r>
            <w:r>
              <w:rPr>
                <w:rFonts w:hint="eastAsia" w:asciiTheme="minorEastAsia" w:hAnsiTheme="minorEastAsia"/>
                <w:color w:val="auto"/>
                <w:szCs w:val="24"/>
              </w:rPr>
              <w:t>权重</w:t>
            </w:r>
            <w:r>
              <w:rPr>
                <w:rFonts w:asciiTheme="minorEastAsia" w:hAnsiTheme="minorEastAsia"/>
                <w:color w:val="auto"/>
                <w:szCs w:val="24"/>
              </w:rPr>
              <w:t>10</w:t>
            </w:r>
            <w:r>
              <w:rPr>
                <w:rFonts w:hint="eastAsia" w:asciiTheme="minorEastAsia" w:hAnsiTheme="minorEastAsia"/>
                <w:color w:val="auto"/>
                <w:szCs w:val="24"/>
              </w:rPr>
              <w:t>%～1</w:t>
            </w:r>
            <w:r>
              <w:rPr>
                <w:rFonts w:asciiTheme="minorEastAsia" w:hAnsiTheme="minorEastAsia"/>
                <w:color w:val="auto"/>
                <w:szCs w:val="24"/>
              </w:rPr>
              <w:t>8</w:t>
            </w:r>
            <w:r>
              <w:rPr>
                <w:rFonts w:hint="eastAsia" w:asciiTheme="minorEastAsia" w:hAnsiTheme="minorEastAsia"/>
                <w:color w:val="auto"/>
                <w:szCs w:val="24"/>
              </w:rPr>
              <w:t>%</w:t>
            </w:r>
            <w:r>
              <w:rPr>
                <w:rFonts w:hint="eastAsia" w:cs="宋体" w:asciiTheme="minorEastAsia" w:hAnsiTheme="minorEastAsia"/>
                <w:color w:val="auto"/>
                <w:szCs w:val="24"/>
              </w:rPr>
              <w:t>）</w:t>
            </w:r>
          </w:p>
        </w:tc>
        <w:tc>
          <w:tcPr>
            <w:tcW w:w="5402" w:type="dxa"/>
            <w:vAlign w:val="center"/>
          </w:tcPr>
          <w:p>
            <w:pPr>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诚信评价等级为A级的投标人得分</w:t>
            </w:r>
          </w:p>
        </w:tc>
        <w:tc>
          <w:tcPr>
            <w:tcW w:w="1535" w:type="dxa"/>
            <w:vAlign w:val="center"/>
          </w:tcPr>
          <w:p>
            <w:pPr>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85%-100%，不含85%</w:t>
            </w:r>
          </w:p>
        </w:tc>
        <w:tc>
          <w:tcPr>
            <w:tcW w:w="1231" w:type="dxa"/>
            <w:vAlign w:val="center"/>
          </w:tcPr>
          <w:p>
            <w:pPr>
              <w:spacing w:line="540" w:lineRule="exact"/>
              <w:ind w:firstLine="480"/>
              <w:jc w:val="center"/>
              <w:rPr>
                <w:rFonts w:asciiTheme="minorEastAsia" w:hAnsiTheme="minorEastAsia"/>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0" w:type="dxa"/>
            <w:vMerge w:val="continue"/>
            <w:vAlign w:val="center"/>
          </w:tcPr>
          <w:p>
            <w:pPr>
              <w:spacing w:line="540" w:lineRule="exact"/>
              <w:ind w:firstLine="480"/>
              <w:rPr>
                <w:rFonts w:asciiTheme="minorEastAsia" w:hAnsiTheme="minorEastAsia"/>
                <w:b/>
                <w:bCs/>
                <w:color w:val="auto"/>
                <w:szCs w:val="24"/>
              </w:rPr>
            </w:pPr>
          </w:p>
        </w:tc>
        <w:tc>
          <w:tcPr>
            <w:tcW w:w="5123" w:type="dxa"/>
            <w:vMerge w:val="continue"/>
            <w:vAlign w:val="center"/>
          </w:tcPr>
          <w:p>
            <w:pPr>
              <w:spacing w:line="540" w:lineRule="exact"/>
              <w:ind w:firstLine="0" w:firstLineChars="0"/>
              <w:jc w:val="left"/>
              <w:rPr>
                <w:rFonts w:asciiTheme="minorEastAsia" w:hAnsiTheme="minorEastAsia"/>
                <w:color w:val="auto"/>
                <w:szCs w:val="24"/>
              </w:rPr>
            </w:pPr>
          </w:p>
        </w:tc>
        <w:tc>
          <w:tcPr>
            <w:tcW w:w="5402" w:type="dxa"/>
            <w:vAlign w:val="center"/>
          </w:tcPr>
          <w:p>
            <w:pPr>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诚信评价等级为B级的投标人得分</w:t>
            </w:r>
          </w:p>
        </w:tc>
        <w:tc>
          <w:tcPr>
            <w:tcW w:w="1535" w:type="dxa"/>
            <w:vAlign w:val="center"/>
          </w:tcPr>
          <w:p>
            <w:pPr>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70%-85%，</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含70%</w:t>
            </w:r>
          </w:p>
        </w:tc>
        <w:tc>
          <w:tcPr>
            <w:tcW w:w="1231" w:type="dxa"/>
            <w:vAlign w:val="center"/>
          </w:tcPr>
          <w:p>
            <w:pPr>
              <w:spacing w:line="540" w:lineRule="exact"/>
              <w:ind w:firstLine="480"/>
              <w:jc w:val="center"/>
              <w:rPr>
                <w:rFonts w:asciiTheme="minorEastAsia" w:hAnsiTheme="minorEastAsia"/>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0" w:type="dxa"/>
            <w:vMerge w:val="continue"/>
            <w:vAlign w:val="center"/>
          </w:tcPr>
          <w:p>
            <w:pPr>
              <w:spacing w:line="540" w:lineRule="exact"/>
              <w:ind w:firstLine="480"/>
              <w:rPr>
                <w:rFonts w:asciiTheme="minorEastAsia" w:hAnsiTheme="minorEastAsia"/>
                <w:b/>
                <w:bCs/>
                <w:color w:val="auto"/>
                <w:szCs w:val="24"/>
              </w:rPr>
            </w:pPr>
          </w:p>
        </w:tc>
        <w:tc>
          <w:tcPr>
            <w:tcW w:w="5123" w:type="dxa"/>
            <w:vMerge w:val="continue"/>
            <w:vAlign w:val="center"/>
          </w:tcPr>
          <w:p>
            <w:pPr>
              <w:spacing w:line="540" w:lineRule="exact"/>
              <w:ind w:firstLine="0" w:firstLineChars="0"/>
              <w:jc w:val="left"/>
              <w:rPr>
                <w:rFonts w:asciiTheme="minorEastAsia" w:hAnsiTheme="minorEastAsia"/>
                <w:color w:val="auto"/>
                <w:szCs w:val="24"/>
              </w:rPr>
            </w:pPr>
          </w:p>
        </w:tc>
        <w:tc>
          <w:tcPr>
            <w:tcW w:w="5402" w:type="dxa"/>
            <w:vAlign w:val="center"/>
          </w:tcPr>
          <w:p>
            <w:pPr>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诚信评价等级为C级的投标人得分</w:t>
            </w:r>
          </w:p>
        </w:tc>
        <w:tc>
          <w:tcPr>
            <w:tcW w:w="1535" w:type="dxa"/>
            <w:vAlign w:val="center"/>
          </w:tcPr>
          <w:p>
            <w:pPr>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60%-70%，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含60%</w:t>
            </w:r>
          </w:p>
        </w:tc>
        <w:tc>
          <w:tcPr>
            <w:tcW w:w="1231" w:type="dxa"/>
            <w:vAlign w:val="center"/>
          </w:tcPr>
          <w:p>
            <w:pPr>
              <w:spacing w:line="540" w:lineRule="exact"/>
              <w:ind w:firstLine="480"/>
              <w:jc w:val="center"/>
              <w:rPr>
                <w:rFonts w:asciiTheme="minorEastAsia" w:hAnsiTheme="minorEastAsia"/>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0" w:type="dxa"/>
            <w:vMerge w:val="continue"/>
            <w:vAlign w:val="center"/>
          </w:tcPr>
          <w:p>
            <w:pPr>
              <w:spacing w:line="540" w:lineRule="exact"/>
              <w:ind w:firstLine="480"/>
              <w:rPr>
                <w:rFonts w:asciiTheme="minorEastAsia" w:hAnsiTheme="minorEastAsia"/>
                <w:b/>
                <w:bCs/>
                <w:color w:val="auto"/>
                <w:szCs w:val="24"/>
              </w:rPr>
            </w:pPr>
          </w:p>
        </w:tc>
        <w:tc>
          <w:tcPr>
            <w:tcW w:w="5123" w:type="dxa"/>
            <w:vMerge w:val="continue"/>
            <w:vAlign w:val="center"/>
          </w:tcPr>
          <w:p>
            <w:pPr>
              <w:spacing w:line="540" w:lineRule="exact"/>
              <w:ind w:firstLine="0" w:firstLineChars="0"/>
              <w:jc w:val="left"/>
              <w:rPr>
                <w:rFonts w:asciiTheme="minorEastAsia" w:hAnsiTheme="minorEastAsia"/>
                <w:color w:val="auto"/>
                <w:szCs w:val="24"/>
              </w:rPr>
            </w:pPr>
          </w:p>
        </w:tc>
        <w:tc>
          <w:tcPr>
            <w:tcW w:w="5402" w:type="dxa"/>
            <w:vAlign w:val="center"/>
          </w:tcPr>
          <w:p>
            <w:pPr>
              <w:spacing w:line="540" w:lineRule="exact"/>
              <w:ind w:firstLine="480"/>
              <w:jc w:val="left"/>
              <w:rPr>
                <w:rFonts w:asciiTheme="minorEastAsia" w:hAnsiTheme="minorEastAsia"/>
                <w:color w:val="auto"/>
                <w:szCs w:val="24"/>
              </w:rPr>
            </w:pPr>
            <w:r>
              <w:rPr>
                <w:rFonts w:hint="eastAsia" w:ascii="宋体" w:hAnsi="宋体" w:eastAsia="宋体" w:cs="宋体"/>
                <w:color w:val="auto"/>
                <w:kern w:val="0"/>
                <w:sz w:val="18"/>
                <w:szCs w:val="18"/>
              </w:rPr>
              <w:t>诚信评价等级为D级的投标人得分</w:t>
            </w:r>
          </w:p>
        </w:tc>
        <w:tc>
          <w:tcPr>
            <w:tcW w:w="1535" w:type="dxa"/>
            <w:vAlign w:val="center"/>
          </w:tcPr>
          <w:p>
            <w:pPr>
              <w:spacing w:line="540" w:lineRule="exact"/>
              <w:ind w:firstLine="0" w:firstLineChars="0"/>
              <w:rPr>
                <w:rFonts w:asciiTheme="minorEastAsia" w:hAnsiTheme="minorEastAsia"/>
                <w:color w:val="auto"/>
                <w:szCs w:val="24"/>
              </w:rPr>
            </w:pPr>
            <w:r>
              <w:rPr>
                <w:rFonts w:hint="eastAsia" w:ascii="宋体" w:hAnsi="宋体" w:eastAsia="宋体" w:cs="宋体"/>
                <w:color w:val="auto"/>
                <w:kern w:val="0"/>
                <w:sz w:val="18"/>
                <w:szCs w:val="18"/>
              </w:rPr>
              <w:t>40%-60%，</w:t>
            </w:r>
            <w:r>
              <w:rPr>
                <w:rFonts w:hint="eastAsia" w:ascii="宋体" w:hAnsi="宋体" w:eastAsia="宋体" w:cs="宋体"/>
                <w:color w:val="auto"/>
                <w:kern w:val="0"/>
                <w:sz w:val="18"/>
                <w:szCs w:val="18"/>
                <w:lang w:eastAsia="zh-CN"/>
              </w:rPr>
              <w:t>不</w:t>
            </w:r>
            <w:r>
              <w:rPr>
                <w:rFonts w:hint="eastAsia" w:ascii="宋体" w:hAnsi="宋体" w:eastAsia="宋体" w:cs="宋体"/>
                <w:color w:val="auto"/>
                <w:kern w:val="0"/>
                <w:sz w:val="18"/>
                <w:szCs w:val="18"/>
              </w:rPr>
              <w:t>含40%</w:t>
            </w:r>
          </w:p>
        </w:tc>
        <w:tc>
          <w:tcPr>
            <w:tcW w:w="1231" w:type="dxa"/>
            <w:vAlign w:val="center"/>
          </w:tcPr>
          <w:p>
            <w:pPr>
              <w:spacing w:line="540" w:lineRule="exact"/>
              <w:ind w:firstLine="480"/>
              <w:jc w:val="center"/>
              <w:rPr>
                <w:rFonts w:asciiTheme="minorEastAsia" w:hAnsiTheme="minorEastAsia"/>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0" w:type="dxa"/>
            <w:vMerge w:val="continue"/>
            <w:vAlign w:val="center"/>
          </w:tcPr>
          <w:p>
            <w:pPr>
              <w:spacing w:line="540" w:lineRule="exact"/>
              <w:ind w:firstLine="480"/>
              <w:rPr>
                <w:rFonts w:asciiTheme="minorEastAsia" w:hAnsiTheme="minorEastAsia"/>
                <w:b/>
                <w:bCs/>
                <w:color w:val="auto"/>
                <w:szCs w:val="24"/>
              </w:rPr>
            </w:pPr>
          </w:p>
        </w:tc>
        <w:tc>
          <w:tcPr>
            <w:tcW w:w="5123" w:type="dxa"/>
            <w:vMerge w:val="continue"/>
            <w:vAlign w:val="center"/>
          </w:tcPr>
          <w:p>
            <w:pPr>
              <w:spacing w:line="540" w:lineRule="exact"/>
              <w:ind w:firstLine="0" w:firstLineChars="0"/>
              <w:jc w:val="left"/>
              <w:rPr>
                <w:rFonts w:asciiTheme="minorEastAsia" w:hAnsiTheme="minorEastAsia"/>
                <w:color w:val="auto"/>
                <w:szCs w:val="24"/>
              </w:rPr>
            </w:pPr>
          </w:p>
        </w:tc>
        <w:tc>
          <w:tcPr>
            <w:tcW w:w="5402" w:type="dxa"/>
            <w:vAlign w:val="center"/>
          </w:tcPr>
          <w:p>
            <w:pPr>
              <w:spacing w:line="540" w:lineRule="exact"/>
              <w:ind w:firstLine="48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诚信评价等级为其他等级的均得分</w:t>
            </w:r>
          </w:p>
        </w:tc>
        <w:tc>
          <w:tcPr>
            <w:tcW w:w="1535" w:type="dxa"/>
            <w:vAlign w:val="center"/>
          </w:tcPr>
          <w:p>
            <w:pPr>
              <w:spacing w:line="540" w:lineRule="exact"/>
              <w:ind w:firstLine="0" w:firstLineChars="0"/>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0</w:t>
            </w:r>
          </w:p>
        </w:tc>
        <w:tc>
          <w:tcPr>
            <w:tcW w:w="1231" w:type="dxa"/>
            <w:vAlign w:val="center"/>
          </w:tcPr>
          <w:p>
            <w:pPr>
              <w:spacing w:line="540" w:lineRule="exact"/>
              <w:ind w:firstLine="480"/>
              <w:jc w:val="center"/>
              <w:rPr>
                <w:rFonts w:asciiTheme="minorEastAsia" w:hAnsiTheme="minorEastAsia"/>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0" w:type="dxa"/>
            <w:vAlign w:val="center"/>
          </w:tcPr>
          <w:p>
            <w:pPr>
              <w:spacing w:line="540" w:lineRule="exact"/>
              <w:ind w:firstLine="480"/>
              <w:rPr>
                <w:rFonts w:hint="eastAsia" w:asciiTheme="minorEastAsia" w:hAnsiTheme="minorEastAsia" w:eastAsiaTheme="minorEastAsia"/>
                <w:b/>
                <w:bCs/>
                <w:color w:val="auto"/>
                <w:szCs w:val="24"/>
                <w:lang w:eastAsia="zh-CN"/>
              </w:rPr>
            </w:pPr>
            <w:r>
              <w:rPr>
                <w:rFonts w:hint="eastAsia" w:asciiTheme="minorEastAsia" w:hAnsiTheme="minorEastAsia"/>
                <w:b/>
                <w:bCs/>
                <w:color w:val="auto"/>
                <w:szCs w:val="24"/>
                <w:lang w:val="en-US" w:eastAsia="zh-CN"/>
              </w:rPr>
              <w:t>2</w:t>
            </w:r>
          </w:p>
        </w:tc>
        <w:tc>
          <w:tcPr>
            <w:tcW w:w="12060" w:type="dxa"/>
            <w:gridSpan w:val="3"/>
            <w:vAlign w:val="center"/>
          </w:tcPr>
          <w:p>
            <w:pPr>
              <w:spacing w:line="540" w:lineRule="exact"/>
              <w:ind w:firstLine="480"/>
              <w:jc w:val="left"/>
              <w:rPr>
                <w:rFonts w:hint="eastAsia" w:asciiTheme="minorEastAsia" w:hAnsiTheme="minorEastAsia" w:eastAsiaTheme="minorEastAsia"/>
                <w:color w:val="auto"/>
                <w:szCs w:val="24"/>
                <w:lang w:eastAsia="zh-CN"/>
              </w:rPr>
            </w:pPr>
            <w:r>
              <w:rPr>
                <w:rFonts w:hint="eastAsia" w:asciiTheme="minorEastAsia" w:hAnsiTheme="minorEastAsia"/>
                <w:color w:val="auto"/>
                <w:szCs w:val="24"/>
              </w:rPr>
              <w:t>投标人在信用中国网存在不良行为记录的，每条直接从总得分中扣减3分，最多扣9分</w:t>
            </w:r>
            <w:r>
              <w:rPr>
                <w:rFonts w:hint="eastAsia" w:asciiTheme="minorEastAsia" w:hAnsiTheme="minorEastAsia"/>
                <w:color w:val="auto"/>
                <w:szCs w:val="24"/>
                <w:lang w:eastAsia="zh-CN"/>
              </w:rPr>
              <w:t>。</w:t>
            </w:r>
          </w:p>
        </w:tc>
        <w:tc>
          <w:tcPr>
            <w:tcW w:w="1231" w:type="dxa"/>
            <w:vAlign w:val="center"/>
          </w:tcPr>
          <w:p>
            <w:pPr>
              <w:spacing w:line="540" w:lineRule="exact"/>
              <w:ind w:firstLine="480"/>
              <w:jc w:val="center"/>
              <w:rPr>
                <w:rFonts w:asciiTheme="minorEastAsia" w:hAnsiTheme="minorEastAsia"/>
                <w:b/>
                <w:bCs/>
                <w:color w:val="auto"/>
                <w:szCs w:val="24"/>
              </w:rPr>
            </w:pPr>
          </w:p>
        </w:tc>
        <w:tc>
          <w:tcPr>
            <w:tcW w:w="914" w:type="dxa"/>
            <w:vAlign w:val="center"/>
          </w:tcPr>
          <w:p>
            <w:pPr>
              <w:spacing w:line="540" w:lineRule="exact"/>
              <w:ind w:firstLine="480"/>
              <w:jc w:val="center"/>
              <w:rPr>
                <w:rFonts w:asciiTheme="minorEastAsia" w:hAnsiTheme="minorEastAsia"/>
                <w:b/>
                <w:bCs/>
                <w:color w:val="auto"/>
                <w:szCs w:val="24"/>
              </w:rPr>
            </w:pPr>
          </w:p>
        </w:tc>
      </w:tr>
    </w:tbl>
    <w:p>
      <w:pPr>
        <w:spacing w:line="540" w:lineRule="exact"/>
        <w:ind w:firstLine="480"/>
        <w:jc w:val="left"/>
        <w:rPr>
          <w:rFonts w:hint="eastAsia" w:cs="宋体" w:asciiTheme="minorEastAsia" w:hAnsiTheme="minorEastAsia"/>
          <w:color w:val="auto"/>
          <w:szCs w:val="24"/>
          <w:lang w:eastAsia="zh-CN"/>
        </w:rPr>
      </w:pPr>
      <w:r>
        <w:rPr>
          <w:rFonts w:hint="eastAsia" w:asciiTheme="minorEastAsia" w:hAnsiTheme="minorEastAsia"/>
          <w:color w:val="auto"/>
          <w:szCs w:val="24"/>
        </w:rPr>
        <w:t>备注：</w:t>
      </w:r>
      <w:r>
        <w:rPr>
          <w:rFonts w:hint="eastAsia" w:asciiTheme="minorEastAsia" w:hAnsiTheme="minorEastAsia"/>
          <w:color w:val="auto"/>
          <w:szCs w:val="24"/>
          <w:lang w:val="en-US" w:eastAsia="zh-CN"/>
        </w:rPr>
        <w:t>1.</w:t>
      </w:r>
      <w:r>
        <w:rPr>
          <w:rFonts w:hint="eastAsia" w:asciiTheme="minorEastAsia" w:hAnsiTheme="minorEastAsia"/>
          <w:color w:val="auto"/>
          <w:szCs w:val="24"/>
          <w:lang w:eastAsia="zh-CN"/>
        </w:rPr>
        <w:t>投标人信用评价等级</w:t>
      </w:r>
      <w:r>
        <w:rPr>
          <w:rFonts w:hint="eastAsia" w:asciiTheme="minorEastAsia" w:hAnsiTheme="minorEastAsia"/>
          <w:color w:val="auto"/>
          <w:szCs w:val="24"/>
        </w:rPr>
        <w:t>根据</w:t>
      </w:r>
      <w:r>
        <w:rPr>
          <w:rStyle w:val="30"/>
          <w:rFonts w:hint="eastAsia" w:cs="宋体" w:asciiTheme="minorEastAsia" w:hAnsiTheme="minorEastAsia"/>
          <w:b w:val="0"/>
          <w:bCs w:val="0"/>
          <w:color w:val="auto"/>
          <w:szCs w:val="24"/>
        </w:rPr>
        <w:t>《海南省建筑市场诚信评价管理办法</w:t>
      </w:r>
      <w:r>
        <w:rPr>
          <w:rStyle w:val="30"/>
          <w:rFonts w:hint="eastAsia" w:cs="宋体" w:asciiTheme="minorEastAsia" w:hAnsiTheme="minorEastAsia"/>
          <w:b w:val="0"/>
          <w:bCs w:val="0"/>
          <w:color w:val="auto"/>
          <w:szCs w:val="24"/>
          <w:lang w:eastAsia="zh-CN"/>
        </w:rPr>
        <w:t>及相关市场主体信用评价标准</w:t>
      </w:r>
      <w:r>
        <w:rPr>
          <w:rStyle w:val="30"/>
          <w:rFonts w:hint="eastAsia" w:cs="宋体" w:asciiTheme="minorEastAsia" w:hAnsiTheme="minorEastAsia"/>
          <w:b w:val="0"/>
          <w:bCs w:val="0"/>
          <w:color w:val="auto"/>
          <w:szCs w:val="24"/>
        </w:rPr>
        <w:t>》（</w:t>
      </w:r>
      <w:r>
        <w:rPr>
          <w:rFonts w:hint="eastAsia" w:cs="宋体" w:asciiTheme="minorEastAsia" w:hAnsiTheme="minorEastAsia"/>
          <w:color w:val="auto"/>
          <w:szCs w:val="24"/>
        </w:rPr>
        <w:t>琼建管〔</w:t>
      </w:r>
      <w:r>
        <w:rPr>
          <w:rFonts w:hint="eastAsia" w:cs="宋体" w:asciiTheme="minorEastAsia" w:hAnsiTheme="minorEastAsia"/>
          <w:color w:val="auto"/>
          <w:szCs w:val="24"/>
          <w:lang w:val="en-US" w:eastAsia="zh-CN"/>
        </w:rPr>
        <w:t>2022</w:t>
      </w:r>
      <w:r>
        <w:rPr>
          <w:rFonts w:hint="eastAsia" w:cs="宋体" w:asciiTheme="minorEastAsia" w:hAnsiTheme="minorEastAsia"/>
          <w:color w:val="auto"/>
          <w:szCs w:val="24"/>
        </w:rPr>
        <w:t>〕</w:t>
      </w:r>
      <w:r>
        <w:rPr>
          <w:rFonts w:hint="eastAsia" w:cs="宋体" w:asciiTheme="minorEastAsia" w:hAnsiTheme="minorEastAsia"/>
          <w:color w:val="auto"/>
          <w:szCs w:val="24"/>
          <w:lang w:val="en-US" w:eastAsia="zh-CN"/>
        </w:rPr>
        <w:t>433</w:t>
      </w:r>
      <w:r>
        <w:rPr>
          <w:rFonts w:hint="eastAsia" w:cs="宋体" w:asciiTheme="minorEastAsia" w:hAnsiTheme="minorEastAsia"/>
          <w:color w:val="auto"/>
          <w:szCs w:val="24"/>
        </w:rPr>
        <w:t>号）</w:t>
      </w:r>
      <w:r>
        <w:rPr>
          <w:rFonts w:hint="eastAsia" w:cs="宋体" w:asciiTheme="minorEastAsia" w:hAnsiTheme="minorEastAsia"/>
          <w:color w:val="auto"/>
          <w:szCs w:val="24"/>
          <w:lang w:eastAsia="zh-CN"/>
        </w:rPr>
        <w:t>相关规定，以海南省建筑市场监管公共服务平台发布的评价结果为准。</w:t>
      </w:r>
    </w:p>
    <w:p>
      <w:pPr>
        <w:spacing w:line="540" w:lineRule="exact"/>
        <w:ind w:firstLine="480"/>
        <w:jc w:val="left"/>
        <w:rPr>
          <w:rFonts w:hint="eastAsia" w:cs="宋体" w:asciiTheme="minorEastAsia" w:hAnsiTheme="minorEastAsia"/>
          <w:color w:val="auto"/>
          <w:szCs w:val="24"/>
          <w:lang w:val="en-US" w:eastAsia="zh-CN"/>
        </w:rPr>
      </w:pPr>
      <w:r>
        <w:rPr>
          <w:rFonts w:hint="eastAsia" w:cs="宋体" w:asciiTheme="minorEastAsia" w:hAnsiTheme="minorEastAsia"/>
          <w:color w:val="auto"/>
          <w:szCs w:val="24"/>
          <w:lang w:val="en-US" w:eastAsia="zh-CN"/>
        </w:rPr>
        <w:t>2.组成联合体投标时，投标人得分为联合体各成员信用评价等级计算分值的平均值。</w:t>
      </w:r>
    </w:p>
    <w:p>
      <w:pPr>
        <w:spacing w:line="540" w:lineRule="exact"/>
        <w:ind w:firstLine="480"/>
        <w:jc w:val="left"/>
        <w:rPr>
          <w:rFonts w:hint="default" w:cs="宋体" w:asciiTheme="minorEastAsia" w:hAnsiTheme="minorEastAsia"/>
          <w:color w:val="auto"/>
          <w:szCs w:val="24"/>
          <w:lang w:val="en-US" w:eastAsia="zh-CN"/>
        </w:rPr>
      </w:pPr>
      <w:r>
        <w:rPr>
          <w:rFonts w:hint="eastAsia" w:cs="宋体" w:asciiTheme="minorEastAsia" w:hAnsiTheme="minorEastAsia"/>
          <w:color w:val="auto"/>
          <w:szCs w:val="24"/>
          <w:lang w:val="en-US" w:eastAsia="zh-CN"/>
        </w:rPr>
        <w:t>3.组成联合体投标人的不良行为扣分，按联合体协议约定的承揽业务最多的企业计算。</w:t>
      </w:r>
    </w:p>
    <w:p>
      <w:pPr>
        <w:spacing w:line="540" w:lineRule="exact"/>
        <w:ind w:firstLine="0" w:firstLineChars="0"/>
        <w:jc w:val="left"/>
        <w:rPr>
          <w:rFonts w:hint="eastAsia" w:ascii="黑体" w:hAnsi="黑体" w:eastAsia="黑体" w:cs="黑体"/>
          <w:bCs/>
          <w:color w:val="auto"/>
          <w:sz w:val="32"/>
          <w:szCs w:val="32"/>
          <w:lang w:eastAsia="zh-CN"/>
        </w:rPr>
      </w:pPr>
      <w:r>
        <w:rPr>
          <w:rFonts w:ascii="宋体" w:hAnsi="宋体"/>
          <w:bCs/>
          <w:color w:val="auto"/>
          <w:sz w:val="30"/>
          <w:szCs w:val="30"/>
        </w:rPr>
        <w:br w:type="page"/>
      </w:r>
    </w:p>
    <w:p>
      <w:pPr>
        <w:pStyle w:val="5"/>
        <w:spacing w:line="540" w:lineRule="exact"/>
        <w:ind w:firstLine="640"/>
        <w:jc w:val="center"/>
        <w:rPr>
          <w:rFonts w:ascii="黑体" w:hAnsi="黑体" w:eastAsia="黑体"/>
          <w:b w:val="0"/>
          <w:bCs w:val="0"/>
          <w:color w:val="auto"/>
          <w:sz w:val="32"/>
          <w:szCs w:val="32"/>
        </w:rPr>
      </w:pPr>
      <w:r>
        <w:rPr>
          <w:rFonts w:hint="eastAsia" w:ascii="楷体" w:hAnsi="楷体" w:eastAsia="楷体" w:cs="楷体"/>
          <w:b w:val="0"/>
          <w:bCs w:val="0"/>
          <w:color w:val="auto"/>
          <w:sz w:val="32"/>
          <w:szCs w:val="32"/>
          <w:shd w:val="clear" w:color="auto" w:fill="FFFFFF"/>
          <w:lang w:eastAsia="zh-CN"/>
        </w:rPr>
        <w:t>（四）</w:t>
      </w:r>
      <w:r>
        <w:rPr>
          <w:rFonts w:hint="eastAsia" w:ascii="楷体" w:hAnsi="楷体" w:eastAsia="楷体" w:cs="楷体"/>
          <w:b w:val="0"/>
          <w:bCs w:val="0"/>
          <w:color w:val="auto"/>
          <w:sz w:val="32"/>
          <w:szCs w:val="32"/>
          <w:shd w:val="clear" w:color="auto" w:fill="FFFFFF"/>
        </w:rPr>
        <w:t>施工项目部关键岗位人员</w:t>
      </w:r>
      <w:r>
        <w:rPr>
          <w:rFonts w:hint="eastAsia" w:ascii="楷体" w:hAnsi="楷体" w:eastAsia="楷体" w:cs="楷体"/>
          <w:b w:val="0"/>
          <w:bCs w:val="0"/>
          <w:color w:val="auto"/>
          <w:sz w:val="32"/>
          <w:szCs w:val="32"/>
        </w:rPr>
        <w:t>配备标准</w:t>
      </w:r>
    </w:p>
    <w:p>
      <w:pPr>
        <w:autoSpaceDE w:val="0"/>
        <w:autoSpaceDN w:val="0"/>
        <w:spacing w:line="540" w:lineRule="exact"/>
        <w:ind w:firstLine="4804" w:firstLineChars="1600"/>
        <w:rPr>
          <w:rFonts w:hint="eastAsia" w:ascii="仿宋_GB2312" w:hAnsi="仿宋_GB2312" w:eastAsia="仿宋_GB2312" w:cs="仿宋_GB2312"/>
          <w:b/>
          <w:bCs w:val="0"/>
          <w:color w:val="auto"/>
          <w:sz w:val="30"/>
          <w:szCs w:val="30"/>
        </w:rPr>
      </w:pPr>
      <w:r>
        <w:rPr>
          <w:rFonts w:hint="eastAsia" w:ascii="宋体" w:hAnsi="宋体"/>
          <w:b/>
          <w:color w:val="auto"/>
          <w:sz w:val="30"/>
          <w:szCs w:val="30"/>
        </w:rPr>
        <w:t xml:space="preserve">       </w:t>
      </w: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房屋建筑工程</w:t>
      </w:r>
    </w:p>
    <w:tbl>
      <w:tblPr>
        <w:tblStyle w:val="27"/>
        <w:tblW w:w="15005"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698"/>
        <w:gridCol w:w="1431"/>
        <w:gridCol w:w="1477"/>
        <w:gridCol w:w="1039"/>
        <w:gridCol w:w="1673"/>
        <w:gridCol w:w="992"/>
        <w:gridCol w:w="1188"/>
        <w:gridCol w:w="935"/>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43" w:type="dxa"/>
            <w:gridSpan w:val="2"/>
            <w:vMerge w:val="restart"/>
            <w:tcBorders>
              <w:tl2br w:val="single" w:color="auto" w:sz="4" w:space="0"/>
            </w:tcBorders>
          </w:tcPr>
          <w:p>
            <w:pPr>
              <w:autoSpaceDE w:val="0"/>
              <w:autoSpaceDN w:val="0"/>
              <w:spacing w:line="540" w:lineRule="exact"/>
              <w:ind w:firstLine="480"/>
              <w:rPr>
                <w:rFonts w:asciiTheme="minorEastAsia" w:hAnsiTheme="minorEastAsia"/>
                <w:color w:val="auto"/>
                <w:szCs w:val="24"/>
              </w:rPr>
            </w:pPr>
            <w:r>
              <w:rPr>
                <w:rFonts w:hint="eastAsia" w:asciiTheme="minorEastAsia" w:hAnsiTheme="minorEastAsia"/>
                <w:color w:val="auto"/>
                <w:szCs w:val="24"/>
              </w:rPr>
              <w:t xml:space="preserve">  </w:t>
            </w:r>
            <w:r>
              <w:rPr>
                <w:rFonts w:hint="eastAsia" w:asciiTheme="minorEastAsia" w:hAnsiTheme="minorEastAsia"/>
                <w:color w:val="auto"/>
                <w:szCs w:val="24"/>
                <w:shd w:val="clear" w:color="auto" w:fill="FFFFFF"/>
              </w:rPr>
              <w:t>施工项目部关键岗位人员</w:t>
            </w:r>
            <w:r>
              <w:rPr>
                <w:rFonts w:hint="eastAsia" w:asciiTheme="minorEastAsia" w:hAnsiTheme="minorEastAsia"/>
                <w:color w:val="auto"/>
                <w:szCs w:val="24"/>
              </w:rPr>
              <w:t>配备标准</w:t>
            </w:r>
          </w:p>
          <w:p>
            <w:pPr>
              <w:autoSpaceDE w:val="0"/>
              <w:autoSpaceDN w:val="0"/>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工程类别（规模标准m</w:t>
            </w:r>
            <w:r>
              <w:rPr>
                <w:rFonts w:hint="eastAsia" w:asciiTheme="minorEastAsia" w:hAnsiTheme="minorEastAsia"/>
                <w:color w:val="auto"/>
                <w:szCs w:val="24"/>
                <w:vertAlign w:val="superscript"/>
              </w:rPr>
              <w:t>2</w:t>
            </w:r>
            <w:r>
              <w:rPr>
                <w:rFonts w:hint="eastAsia" w:asciiTheme="minorEastAsia" w:hAnsiTheme="minorEastAsia"/>
                <w:color w:val="auto"/>
                <w:szCs w:val="24"/>
              </w:rPr>
              <w:t>）</w:t>
            </w:r>
          </w:p>
        </w:tc>
        <w:tc>
          <w:tcPr>
            <w:tcW w:w="10362" w:type="dxa"/>
            <w:gridSpan w:val="8"/>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shd w:val="clear" w:color="auto" w:fill="FFFFFF"/>
              </w:rPr>
              <w:t>施工项目部关键岗位人员</w:t>
            </w:r>
            <w:r>
              <w:rPr>
                <w:rFonts w:hint="eastAsia" w:asciiTheme="minorEastAsia" w:hAnsiTheme="minorEastAsia"/>
                <w:color w:val="auto"/>
                <w:szCs w:val="24"/>
              </w:rPr>
              <w:t>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4643" w:type="dxa"/>
            <w:gridSpan w:val="2"/>
            <w:vMerge w:val="continue"/>
            <w:tcBorders>
              <w:tl2br w:val="single" w:color="auto" w:sz="4" w:space="0"/>
            </w:tcBorders>
          </w:tcPr>
          <w:p>
            <w:pPr>
              <w:autoSpaceDE w:val="0"/>
              <w:autoSpaceDN w:val="0"/>
              <w:spacing w:line="540" w:lineRule="exact"/>
              <w:ind w:firstLine="480"/>
              <w:rPr>
                <w:rFonts w:asciiTheme="minorEastAsia" w:hAnsiTheme="minorEastAsia"/>
                <w:color w:val="auto"/>
                <w:szCs w:val="24"/>
              </w:rPr>
            </w:pPr>
          </w:p>
        </w:tc>
        <w:tc>
          <w:tcPr>
            <w:tcW w:w="1431"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项目负责人</w:t>
            </w:r>
          </w:p>
        </w:tc>
        <w:tc>
          <w:tcPr>
            <w:tcW w:w="1477"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技术负责人</w:t>
            </w:r>
          </w:p>
        </w:tc>
        <w:tc>
          <w:tcPr>
            <w:tcW w:w="1039"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施工员</w:t>
            </w:r>
          </w:p>
        </w:tc>
        <w:tc>
          <w:tcPr>
            <w:tcW w:w="1673" w:type="dxa"/>
            <w:vAlign w:val="center"/>
          </w:tcPr>
          <w:p>
            <w:pPr>
              <w:autoSpaceDE w:val="0"/>
              <w:autoSpaceDN w:val="0"/>
              <w:spacing w:line="540" w:lineRule="exact"/>
              <w:ind w:firstLine="0" w:firstLineChars="0"/>
              <w:rPr>
                <w:rFonts w:hint="eastAsia" w:ascii="仿宋" w:hAnsi="仿宋" w:eastAsia="仿宋"/>
                <w:color w:val="auto"/>
                <w:lang w:eastAsia="zh-CN"/>
              </w:rPr>
            </w:pPr>
            <w:r>
              <w:rPr>
                <w:rFonts w:hint="eastAsia" w:ascii="仿宋" w:hAnsi="仿宋" w:eastAsia="仿宋"/>
                <w:color w:val="auto"/>
                <w:lang w:eastAsia="zh-CN"/>
              </w:rPr>
              <w:t>专职安全生产</w:t>
            </w:r>
          </w:p>
          <w:p>
            <w:pPr>
              <w:autoSpaceDE w:val="0"/>
              <w:autoSpaceDN w:val="0"/>
              <w:spacing w:line="540" w:lineRule="exact"/>
              <w:ind w:firstLine="0" w:firstLineChars="0"/>
              <w:rPr>
                <w:rFonts w:asciiTheme="minorEastAsia" w:hAnsiTheme="minorEastAsia"/>
                <w:color w:val="auto"/>
                <w:szCs w:val="24"/>
              </w:rPr>
            </w:pPr>
            <w:r>
              <w:rPr>
                <w:rFonts w:hint="eastAsia" w:ascii="仿宋" w:hAnsi="仿宋" w:eastAsia="仿宋"/>
                <w:color w:val="auto"/>
                <w:lang w:eastAsia="zh-CN"/>
              </w:rPr>
              <w:t>管理人员</w:t>
            </w:r>
          </w:p>
        </w:tc>
        <w:tc>
          <w:tcPr>
            <w:tcW w:w="992"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质量员</w:t>
            </w:r>
          </w:p>
        </w:tc>
        <w:tc>
          <w:tcPr>
            <w:tcW w:w="1188" w:type="dxa"/>
            <w:vAlign w:val="center"/>
          </w:tcPr>
          <w:p>
            <w:pPr>
              <w:autoSpaceDE w:val="0"/>
              <w:autoSpaceDN w:val="0"/>
              <w:spacing w:line="540" w:lineRule="exact"/>
              <w:ind w:firstLine="0" w:firstLineChars="0"/>
              <w:rPr>
                <w:rFonts w:hint="eastAsia" w:asciiTheme="minorEastAsia" w:hAnsiTheme="minorEastAsia"/>
                <w:color w:val="auto"/>
                <w:szCs w:val="24"/>
              </w:rPr>
            </w:pPr>
            <w:r>
              <w:rPr>
                <w:rFonts w:hint="eastAsia" w:ascii="仿宋" w:hAnsi="仿宋" w:eastAsia="仿宋"/>
                <w:color w:val="auto"/>
                <w:lang w:val="en-US" w:eastAsia="zh-CN"/>
              </w:rPr>
              <w:t>劳资专管员</w:t>
            </w:r>
          </w:p>
        </w:tc>
        <w:tc>
          <w:tcPr>
            <w:tcW w:w="935"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资料员</w:t>
            </w:r>
          </w:p>
        </w:tc>
        <w:tc>
          <w:tcPr>
            <w:tcW w:w="1627" w:type="dxa"/>
            <w:vAlign w:val="center"/>
          </w:tcPr>
          <w:p>
            <w:pPr>
              <w:autoSpaceDE w:val="0"/>
              <w:autoSpaceDN w:val="0"/>
              <w:spacing w:line="540" w:lineRule="exact"/>
              <w:ind w:firstLine="0" w:firstLineChars="0"/>
              <w:rPr>
                <w:rFonts w:asciiTheme="minorEastAsia" w:hAnsiTheme="minorEastAsia"/>
                <w:color w:val="auto"/>
                <w:szCs w:val="24"/>
              </w:rPr>
            </w:pPr>
            <w:r>
              <w:rPr>
                <w:rFonts w:hint="eastAsia" w:asciiTheme="minorEastAsia" w:hAnsiTheme="minorEastAsia"/>
                <w:color w:val="auto"/>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45" w:type="dxa"/>
            <w:vMerge w:val="restart"/>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房屋建筑工程</w:t>
            </w:r>
          </w:p>
        </w:tc>
        <w:tc>
          <w:tcPr>
            <w:tcW w:w="3698" w:type="dxa"/>
            <w:vAlign w:val="center"/>
          </w:tcPr>
          <w:p>
            <w:pPr>
              <w:autoSpaceDE w:val="0"/>
              <w:autoSpaceDN w:val="0"/>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建筑面积≤10000m</w:t>
            </w:r>
            <w:r>
              <w:rPr>
                <w:rFonts w:hint="eastAsia" w:asciiTheme="minorEastAsia" w:hAnsiTheme="minorEastAsia"/>
                <w:color w:val="auto"/>
                <w:szCs w:val="24"/>
                <w:vertAlign w:val="superscript"/>
              </w:rPr>
              <w:t>2</w:t>
            </w:r>
          </w:p>
        </w:tc>
        <w:tc>
          <w:tcPr>
            <w:tcW w:w="143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4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039"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673"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99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188"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935" w:type="dxa"/>
            <w:vAlign w:val="center"/>
          </w:tcPr>
          <w:p>
            <w:pPr>
              <w:autoSpaceDE w:val="0"/>
              <w:autoSpaceDN w:val="0"/>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1☆</w:t>
            </w:r>
          </w:p>
        </w:tc>
        <w:tc>
          <w:tcPr>
            <w:tcW w:w="162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45" w:type="dxa"/>
            <w:vMerge w:val="continue"/>
            <w:vAlign w:val="center"/>
          </w:tcPr>
          <w:p>
            <w:pPr>
              <w:autoSpaceDE w:val="0"/>
              <w:autoSpaceDN w:val="0"/>
              <w:spacing w:line="540" w:lineRule="exact"/>
              <w:ind w:firstLine="480"/>
              <w:jc w:val="center"/>
              <w:rPr>
                <w:rFonts w:asciiTheme="minorEastAsia" w:hAnsiTheme="minorEastAsia"/>
                <w:color w:val="auto"/>
                <w:szCs w:val="24"/>
              </w:rPr>
            </w:pPr>
          </w:p>
        </w:tc>
        <w:tc>
          <w:tcPr>
            <w:tcW w:w="3698" w:type="dxa"/>
            <w:vAlign w:val="center"/>
          </w:tcPr>
          <w:p>
            <w:pPr>
              <w:autoSpaceDE w:val="0"/>
              <w:autoSpaceDN w:val="0"/>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10000m</w:t>
            </w:r>
            <w:r>
              <w:rPr>
                <w:rFonts w:hint="eastAsia" w:asciiTheme="minorEastAsia" w:hAnsiTheme="minorEastAsia"/>
                <w:color w:val="auto"/>
                <w:szCs w:val="24"/>
                <w:vertAlign w:val="superscript"/>
              </w:rPr>
              <w:t>2</w:t>
            </w:r>
            <w:r>
              <w:rPr>
                <w:rFonts w:hint="eastAsia" w:asciiTheme="minorEastAsia" w:hAnsiTheme="minorEastAsia"/>
                <w:color w:val="auto"/>
                <w:szCs w:val="24"/>
              </w:rPr>
              <w:t>＜建筑面积≤30000m</w:t>
            </w:r>
            <w:r>
              <w:rPr>
                <w:rFonts w:hint="eastAsia" w:asciiTheme="minorEastAsia" w:hAnsiTheme="minorEastAsia"/>
                <w:color w:val="auto"/>
                <w:szCs w:val="24"/>
                <w:vertAlign w:val="superscript"/>
              </w:rPr>
              <w:t>2</w:t>
            </w:r>
          </w:p>
        </w:tc>
        <w:tc>
          <w:tcPr>
            <w:tcW w:w="143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4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039"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673"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w:t>
            </w:r>
          </w:p>
        </w:tc>
        <w:tc>
          <w:tcPr>
            <w:tcW w:w="99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188"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935" w:type="dxa"/>
            <w:vAlign w:val="center"/>
          </w:tcPr>
          <w:p>
            <w:pPr>
              <w:autoSpaceDE w:val="0"/>
              <w:autoSpaceDN w:val="0"/>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1☆</w:t>
            </w:r>
          </w:p>
        </w:tc>
        <w:tc>
          <w:tcPr>
            <w:tcW w:w="162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45" w:type="dxa"/>
            <w:vMerge w:val="continue"/>
            <w:vAlign w:val="center"/>
          </w:tcPr>
          <w:p>
            <w:pPr>
              <w:autoSpaceDE w:val="0"/>
              <w:autoSpaceDN w:val="0"/>
              <w:spacing w:line="540" w:lineRule="exact"/>
              <w:ind w:firstLine="480"/>
              <w:jc w:val="center"/>
              <w:rPr>
                <w:rFonts w:asciiTheme="minorEastAsia" w:hAnsiTheme="minorEastAsia"/>
                <w:color w:val="auto"/>
                <w:szCs w:val="24"/>
              </w:rPr>
            </w:pPr>
          </w:p>
        </w:tc>
        <w:tc>
          <w:tcPr>
            <w:tcW w:w="3698" w:type="dxa"/>
            <w:vAlign w:val="center"/>
          </w:tcPr>
          <w:p>
            <w:pPr>
              <w:autoSpaceDE w:val="0"/>
              <w:autoSpaceDN w:val="0"/>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30000m</w:t>
            </w:r>
            <w:r>
              <w:rPr>
                <w:rFonts w:hint="eastAsia" w:asciiTheme="minorEastAsia" w:hAnsiTheme="minorEastAsia"/>
                <w:color w:val="auto"/>
                <w:szCs w:val="24"/>
                <w:vertAlign w:val="superscript"/>
              </w:rPr>
              <w:t>2</w:t>
            </w:r>
            <w:r>
              <w:rPr>
                <w:rFonts w:hint="eastAsia" w:asciiTheme="minorEastAsia" w:hAnsiTheme="minorEastAsia"/>
                <w:color w:val="auto"/>
                <w:szCs w:val="24"/>
              </w:rPr>
              <w:t>＜建筑面积≤50000m</w:t>
            </w:r>
            <w:r>
              <w:rPr>
                <w:rFonts w:hint="eastAsia" w:asciiTheme="minorEastAsia" w:hAnsiTheme="minorEastAsia"/>
                <w:color w:val="auto"/>
                <w:szCs w:val="24"/>
                <w:vertAlign w:val="superscript"/>
              </w:rPr>
              <w:t>2</w:t>
            </w:r>
          </w:p>
        </w:tc>
        <w:tc>
          <w:tcPr>
            <w:tcW w:w="143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4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039"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w:t>
            </w:r>
          </w:p>
        </w:tc>
        <w:tc>
          <w:tcPr>
            <w:tcW w:w="1673"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w:t>
            </w:r>
          </w:p>
        </w:tc>
        <w:tc>
          <w:tcPr>
            <w:tcW w:w="99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188"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935" w:type="dxa"/>
            <w:vAlign w:val="center"/>
          </w:tcPr>
          <w:p>
            <w:pPr>
              <w:autoSpaceDE w:val="0"/>
              <w:autoSpaceDN w:val="0"/>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1☆</w:t>
            </w:r>
          </w:p>
        </w:tc>
        <w:tc>
          <w:tcPr>
            <w:tcW w:w="162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45" w:type="dxa"/>
            <w:vMerge w:val="continue"/>
            <w:vAlign w:val="center"/>
          </w:tcPr>
          <w:p>
            <w:pPr>
              <w:autoSpaceDE w:val="0"/>
              <w:autoSpaceDN w:val="0"/>
              <w:spacing w:line="540" w:lineRule="exact"/>
              <w:ind w:firstLine="480"/>
              <w:jc w:val="center"/>
              <w:rPr>
                <w:rFonts w:asciiTheme="minorEastAsia" w:hAnsiTheme="minorEastAsia"/>
                <w:color w:val="auto"/>
                <w:szCs w:val="24"/>
              </w:rPr>
            </w:pPr>
          </w:p>
        </w:tc>
        <w:tc>
          <w:tcPr>
            <w:tcW w:w="3698" w:type="dxa"/>
            <w:vAlign w:val="center"/>
          </w:tcPr>
          <w:p>
            <w:pPr>
              <w:autoSpaceDE w:val="0"/>
              <w:autoSpaceDN w:val="0"/>
              <w:spacing w:line="540" w:lineRule="exact"/>
              <w:ind w:firstLine="0" w:firstLineChars="0"/>
              <w:jc w:val="left"/>
              <w:rPr>
                <w:rFonts w:asciiTheme="minorEastAsia" w:hAnsiTheme="minorEastAsia"/>
                <w:color w:val="auto"/>
                <w:szCs w:val="24"/>
              </w:rPr>
            </w:pPr>
            <w:r>
              <w:rPr>
                <w:rFonts w:hint="eastAsia" w:asciiTheme="minorEastAsia" w:hAnsiTheme="minorEastAsia"/>
                <w:color w:val="auto"/>
                <w:szCs w:val="24"/>
              </w:rPr>
              <w:t>建筑面积＞50000m</w:t>
            </w:r>
            <w:r>
              <w:rPr>
                <w:rFonts w:hint="eastAsia" w:asciiTheme="minorEastAsia" w:hAnsiTheme="minorEastAsia"/>
                <w:color w:val="auto"/>
                <w:szCs w:val="24"/>
                <w:vertAlign w:val="superscript"/>
              </w:rPr>
              <w:t>2</w:t>
            </w:r>
          </w:p>
        </w:tc>
        <w:tc>
          <w:tcPr>
            <w:tcW w:w="143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4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039"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w:t>
            </w:r>
          </w:p>
        </w:tc>
        <w:tc>
          <w:tcPr>
            <w:tcW w:w="1673"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w:t>
            </w:r>
          </w:p>
        </w:tc>
        <w:tc>
          <w:tcPr>
            <w:tcW w:w="99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2</w:t>
            </w:r>
          </w:p>
        </w:tc>
        <w:tc>
          <w:tcPr>
            <w:tcW w:w="1188"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935" w:type="dxa"/>
            <w:vAlign w:val="center"/>
          </w:tcPr>
          <w:p>
            <w:pPr>
              <w:autoSpaceDE w:val="0"/>
              <w:autoSpaceDN w:val="0"/>
              <w:spacing w:line="540" w:lineRule="exact"/>
              <w:ind w:left="0" w:leftChars="0" w:firstLine="0" w:firstLineChars="0"/>
              <w:jc w:val="both"/>
              <w:rPr>
                <w:rFonts w:asciiTheme="minorEastAsia" w:hAnsiTheme="minorEastAsia"/>
                <w:color w:val="auto"/>
                <w:szCs w:val="24"/>
              </w:rPr>
            </w:pPr>
            <w:r>
              <w:rPr>
                <w:rFonts w:hint="eastAsia" w:asciiTheme="minorEastAsia" w:hAnsiTheme="minorEastAsia"/>
                <w:color w:val="auto"/>
                <w:szCs w:val="24"/>
              </w:rPr>
              <w:t>1</w:t>
            </w:r>
          </w:p>
        </w:tc>
        <w:tc>
          <w:tcPr>
            <w:tcW w:w="162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rPr>
              <w:t>1</w:t>
            </w:r>
            <w:r>
              <w:rPr>
                <w:rFonts w:hint="eastAsia" w:asciiTheme="minorEastAsia" w:hAnsiTheme="minorEastAsia"/>
                <w:color w:val="auto"/>
                <w:szCs w:val="24"/>
                <w:lang w:val="en-US" w:eastAsia="zh-CN"/>
              </w:rPr>
              <w:t>2</w:t>
            </w:r>
          </w:p>
        </w:tc>
      </w:tr>
    </w:tbl>
    <w:p>
      <w:pPr>
        <w:spacing w:line="540" w:lineRule="exact"/>
        <w:ind w:firstLine="120" w:firstLineChars="50"/>
        <w:rPr>
          <w:rFonts w:asciiTheme="minorEastAsia" w:hAnsiTheme="minorEastAsia"/>
          <w:color w:val="auto"/>
          <w:szCs w:val="24"/>
        </w:rPr>
      </w:pP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备注:</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1.建筑面积＜3000平方米的工程，岗位人员总人数可减少至3人，即项目负责人1人、施工员1人、安全员1人。</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2.建筑面积＜5000平方米的工程，质量员职责可由技术负责人兼任。</w:t>
      </w:r>
    </w:p>
    <w:p>
      <w:pPr>
        <w:spacing w:line="540" w:lineRule="exact"/>
        <w:ind w:firstLine="120" w:firstLineChars="50"/>
        <w:rPr>
          <w:rFonts w:asciiTheme="minorEastAsia" w:hAnsiTheme="minorEastAsia"/>
          <w:color w:val="auto"/>
          <w:szCs w:val="24"/>
        </w:rPr>
      </w:pPr>
      <w:r>
        <w:rPr>
          <w:rFonts w:hint="eastAsia" w:asciiTheme="minorEastAsia" w:hAnsiTheme="minorEastAsia"/>
          <w:color w:val="auto"/>
          <w:szCs w:val="24"/>
        </w:rPr>
        <w:t xml:space="preserve">   3.资料员可以由其他岗位人员兼任，但应取得资料员岗位证书。</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4.工业、民用与公共建筑每增加5万平方米，施工员、安全员、质量员应各增加1人，并按5万、10万、15万、25万、40万等相邻数据相加的类推方式确定步距计算增加关键岗位人员，每步距各增加1人，超过50%按一个步距计算。</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5.住宅小区或其他建筑群体工程和单栋高度150m及以上的超高层工程每增加10万平方米，施工员、安全员、质量员应各增加1人；</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并按5万、10万、15万、25万、40万等相邻数据相加的类推方式计算增加关键岗位人员，每步距各增加1人，超过50%按一个步距计算。</w:t>
      </w:r>
    </w:p>
    <w:p>
      <w:pPr>
        <w:spacing w:line="540" w:lineRule="exact"/>
        <w:ind w:firstLine="120" w:firstLineChars="50"/>
        <w:rPr>
          <w:rFonts w:asciiTheme="minorEastAsia" w:hAnsiTheme="minorEastAsia"/>
          <w:color w:val="auto"/>
          <w:szCs w:val="24"/>
        </w:rPr>
      </w:pPr>
      <w:r>
        <w:rPr>
          <w:rFonts w:hint="eastAsia" w:asciiTheme="minorEastAsia" w:hAnsiTheme="minorEastAsia"/>
          <w:color w:val="auto"/>
          <w:szCs w:val="24"/>
        </w:rPr>
        <w:t xml:space="preserve">   6.小计为项目班子关岗位人员配备数量，表中所列人员配备数量为总承包项目部人员。</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7.此标准为关键岗位人员最低配备标准。当安全员为2人及以上时，其中一名安全员参与机械起重设备安全管理；安全员为1人时，企业须配备专职或兼职机械管理人员。</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 xml:space="preserve">8.对于复杂的体育场所、综合性工程以及工期较紧、多班施工作业的工程，在以上配备标准基础上应适当增加施工员、质量员、安全员人数。 </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9.施工项目部其他岗位人员由投标单位自主配备，兼职人员应具有兼任岗位的岗位资格证书。</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 xml:space="preserve">10.岗位资格证书应当以建设行政主管部门颁发的证书为准。      </w:t>
      </w: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rPr>
          <w:rFonts w:asciiTheme="minorEastAsia" w:hAnsiTheme="minorEastAsia"/>
          <w:color w:val="auto"/>
          <w:szCs w:val="24"/>
        </w:rPr>
      </w:pPr>
      <w:r>
        <w:rPr>
          <w:rFonts w:asciiTheme="minorEastAsia" w:hAnsiTheme="minorEastAsia"/>
          <w:color w:val="auto"/>
          <w:szCs w:val="24"/>
        </w:rPr>
        <w:br w:type="page"/>
      </w: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b/>
          <w:color w:val="auto"/>
          <w:szCs w:val="24"/>
        </w:rPr>
      </w:pPr>
      <w:r>
        <w:rPr>
          <w:rFonts w:hint="eastAsia" w:asciiTheme="minorEastAsia" w:hAnsiTheme="minorEastAsia"/>
          <w:color w:val="auto"/>
          <w:szCs w:val="24"/>
        </w:rPr>
        <w:t xml:space="preserve">  </w:t>
      </w:r>
    </w:p>
    <w:p>
      <w:pPr>
        <w:autoSpaceDE w:val="0"/>
        <w:autoSpaceDN w:val="0"/>
        <w:spacing w:line="540" w:lineRule="exact"/>
        <w:ind w:firstLine="0" w:firstLineChars="0"/>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市政工程</w:t>
      </w:r>
    </w:p>
    <w:tbl>
      <w:tblPr>
        <w:tblStyle w:val="27"/>
        <w:tblW w:w="13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3493"/>
        <w:gridCol w:w="1108"/>
        <w:gridCol w:w="1431"/>
        <w:gridCol w:w="1073"/>
        <w:gridCol w:w="1280"/>
        <w:gridCol w:w="700"/>
        <w:gridCol w:w="831"/>
        <w:gridCol w:w="823"/>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48" w:type="dxa"/>
            <w:gridSpan w:val="2"/>
            <w:vMerge w:val="restart"/>
            <w:tcBorders>
              <w:tl2br w:val="single" w:color="auto" w:sz="4" w:space="0"/>
            </w:tcBorders>
          </w:tcPr>
          <w:p>
            <w:pPr>
              <w:autoSpaceDE w:val="0"/>
              <w:autoSpaceDN w:val="0"/>
              <w:spacing w:line="540" w:lineRule="exact"/>
              <w:ind w:firstLine="0" w:firstLineChars="0"/>
              <w:jc w:val="center"/>
              <w:rPr>
                <w:rFonts w:asciiTheme="minorEastAsia" w:hAnsiTheme="minorEastAsia"/>
                <w:bCs/>
                <w:color w:val="auto"/>
                <w:szCs w:val="24"/>
              </w:rPr>
            </w:pPr>
            <w:r>
              <w:rPr>
                <w:rFonts w:hint="eastAsia" w:asciiTheme="minorEastAsia" w:hAnsiTheme="minorEastAsia"/>
                <w:bCs/>
                <w:color w:val="auto"/>
                <w:szCs w:val="24"/>
              </w:rPr>
              <w:t xml:space="preserve">     </w:t>
            </w:r>
            <w:r>
              <w:rPr>
                <w:rFonts w:hint="eastAsia" w:asciiTheme="minorEastAsia" w:hAnsiTheme="minorEastAsia"/>
                <w:bCs/>
                <w:color w:val="auto"/>
                <w:szCs w:val="24"/>
                <w:shd w:val="clear" w:color="auto" w:fill="FFFFFF"/>
              </w:rPr>
              <w:t>施工项目部关键岗位人员</w:t>
            </w:r>
            <w:r>
              <w:rPr>
                <w:rFonts w:hint="eastAsia" w:asciiTheme="minorEastAsia" w:hAnsiTheme="minorEastAsia"/>
                <w:bCs/>
                <w:color w:val="auto"/>
                <w:szCs w:val="24"/>
              </w:rPr>
              <w:t>配备标准</w:t>
            </w:r>
          </w:p>
          <w:p>
            <w:pPr>
              <w:autoSpaceDE w:val="0"/>
              <w:autoSpaceDN w:val="0"/>
              <w:spacing w:line="540" w:lineRule="exact"/>
              <w:ind w:firstLine="0" w:firstLineChars="0"/>
              <w:jc w:val="center"/>
              <w:rPr>
                <w:rFonts w:asciiTheme="minorEastAsia" w:hAnsiTheme="minorEastAsia"/>
                <w:bCs/>
                <w:color w:val="auto"/>
                <w:szCs w:val="24"/>
              </w:rPr>
            </w:pPr>
          </w:p>
          <w:p>
            <w:pPr>
              <w:autoSpaceDE w:val="0"/>
              <w:autoSpaceDN w:val="0"/>
              <w:spacing w:line="540" w:lineRule="exact"/>
              <w:ind w:firstLine="0" w:firstLineChars="0"/>
              <w:jc w:val="center"/>
              <w:rPr>
                <w:rFonts w:asciiTheme="minorEastAsia" w:hAnsiTheme="minorEastAsia"/>
                <w:bCs/>
                <w:color w:val="auto"/>
                <w:szCs w:val="24"/>
              </w:rPr>
            </w:pPr>
          </w:p>
          <w:p>
            <w:pPr>
              <w:spacing w:line="540" w:lineRule="exact"/>
              <w:ind w:firstLine="0" w:firstLineChars="0"/>
              <w:jc w:val="center"/>
              <w:rPr>
                <w:rFonts w:asciiTheme="minorEastAsia" w:hAnsiTheme="minorEastAsia"/>
                <w:bCs/>
                <w:color w:val="auto"/>
                <w:szCs w:val="24"/>
              </w:rPr>
            </w:pPr>
          </w:p>
          <w:p>
            <w:pPr>
              <w:spacing w:line="540" w:lineRule="exact"/>
              <w:ind w:firstLine="0" w:firstLineChars="0"/>
              <w:jc w:val="center"/>
              <w:rPr>
                <w:rFonts w:asciiTheme="minorEastAsia" w:hAnsiTheme="minorEastAsia"/>
                <w:bCs/>
                <w:color w:val="auto"/>
                <w:szCs w:val="24"/>
              </w:rPr>
            </w:pPr>
          </w:p>
          <w:p>
            <w:pPr>
              <w:spacing w:line="540" w:lineRule="exact"/>
              <w:ind w:firstLine="0" w:firstLineChars="0"/>
              <w:jc w:val="center"/>
              <w:rPr>
                <w:rFonts w:asciiTheme="minorEastAsia" w:hAnsiTheme="minorEastAsia"/>
                <w:bCs/>
                <w:color w:val="auto"/>
                <w:szCs w:val="24"/>
              </w:rPr>
            </w:pPr>
            <w:r>
              <w:rPr>
                <w:rFonts w:hint="eastAsia" w:asciiTheme="minorEastAsia" w:hAnsiTheme="minorEastAsia"/>
                <w:bCs/>
                <w:color w:val="auto"/>
                <w:szCs w:val="24"/>
              </w:rPr>
              <w:t>工程类别（工程合同价：万元）</w:t>
            </w:r>
          </w:p>
        </w:tc>
        <w:tc>
          <w:tcPr>
            <w:tcW w:w="8781" w:type="dxa"/>
            <w:gridSpan w:val="8"/>
            <w:vAlign w:val="center"/>
          </w:tcPr>
          <w:p>
            <w:pPr>
              <w:autoSpaceDE w:val="0"/>
              <w:autoSpaceDN w:val="0"/>
              <w:spacing w:line="540" w:lineRule="exact"/>
              <w:ind w:firstLine="0" w:firstLineChars="0"/>
              <w:jc w:val="center"/>
              <w:rPr>
                <w:rFonts w:asciiTheme="minorEastAsia" w:hAnsiTheme="minorEastAsia"/>
                <w:bCs/>
                <w:color w:val="auto"/>
                <w:szCs w:val="24"/>
              </w:rPr>
            </w:pPr>
            <w:r>
              <w:rPr>
                <w:rFonts w:hint="eastAsia" w:asciiTheme="minorEastAsia" w:hAnsiTheme="minorEastAsia"/>
                <w:bCs/>
                <w:color w:val="auto"/>
                <w:szCs w:val="24"/>
                <w:shd w:val="clear" w:color="auto" w:fill="FFFFFF"/>
              </w:rPr>
              <w:t>施工项目部关键岗位人员</w:t>
            </w:r>
            <w:r>
              <w:rPr>
                <w:rFonts w:hint="eastAsia" w:asciiTheme="minorEastAsia" w:hAnsiTheme="minorEastAsia"/>
                <w:bCs/>
                <w:color w:val="auto"/>
                <w:szCs w:val="24"/>
              </w:rPr>
              <w:t>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4948" w:type="dxa"/>
            <w:gridSpan w:val="2"/>
            <w:vMerge w:val="continue"/>
            <w:tcBorders>
              <w:tl2br w:val="single" w:color="auto" w:sz="4" w:space="0"/>
            </w:tcBorders>
          </w:tcPr>
          <w:p>
            <w:pPr>
              <w:autoSpaceDE w:val="0"/>
              <w:autoSpaceDN w:val="0"/>
              <w:spacing w:line="540" w:lineRule="exact"/>
              <w:ind w:firstLine="480"/>
              <w:rPr>
                <w:rFonts w:asciiTheme="minorEastAsia" w:hAnsiTheme="minorEastAsia"/>
                <w:bCs/>
                <w:color w:val="auto"/>
                <w:szCs w:val="24"/>
              </w:rPr>
            </w:pPr>
          </w:p>
        </w:tc>
        <w:tc>
          <w:tcPr>
            <w:tcW w:w="1108"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项</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目</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负</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责</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人</w:t>
            </w:r>
          </w:p>
        </w:tc>
        <w:tc>
          <w:tcPr>
            <w:tcW w:w="1431"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技</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术</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负</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责</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人</w:t>
            </w:r>
          </w:p>
        </w:tc>
        <w:tc>
          <w:tcPr>
            <w:tcW w:w="1073"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施</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工</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员</w:t>
            </w:r>
          </w:p>
          <w:p>
            <w:pPr>
              <w:autoSpaceDE w:val="0"/>
              <w:autoSpaceDN w:val="0"/>
              <w:spacing w:line="540" w:lineRule="exact"/>
              <w:ind w:firstLine="480"/>
              <w:jc w:val="center"/>
              <w:rPr>
                <w:rFonts w:asciiTheme="minorEastAsia" w:hAnsiTheme="minorEastAsia"/>
                <w:bCs/>
                <w:color w:val="auto"/>
                <w:szCs w:val="24"/>
              </w:rPr>
            </w:pPr>
          </w:p>
        </w:tc>
        <w:tc>
          <w:tcPr>
            <w:tcW w:w="1280" w:type="dxa"/>
            <w:vAlign w:val="center"/>
          </w:tcPr>
          <w:p>
            <w:pPr>
              <w:autoSpaceDE w:val="0"/>
              <w:autoSpaceDN w:val="0"/>
              <w:spacing w:line="540" w:lineRule="exact"/>
              <w:ind w:firstLine="0" w:firstLineChars="0"/>
              <w:rPr>
                <w:rFonts w:hint="eastAsia" w:ascii="仿宋" w:hAnsi="仿宋" w:eastAsia="仿宋"/>
                <w:color w:val="auto"/>
                <w:lang w:eastAsia="zh-CN"/>
              </w:rPr>
            </w:pPr>
            <w:r>
              <w:rPr>
                <w:rFonts w:hint="eastAsia" w:ascii="仿宋" w:hAnsi="仿宋" w:eastAsia="仿宋"/>
                <w:color w:val="auto"/>
                <w:lang w:eastAsia="zh-CN"/>
              </w:rPr>
              <w:t>专职安全生产</w:t>
            </w:r>
          </w:p>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仿宋" w:hAnsi="仿宋" w:eastAsia="仿宋"/>
                <w:color w:val="auto"/>
                <w:lang w:eastAsia="zh-CN"/>
              </w:rPr>
              <w:t>管理人员</w:t>
            </w:r>
          </w:p>
          <w:p>
            <w:pPr>
              <w:autoSpaceDE w:val="0"/>
              <w:autoSpaceDN w:val="0"/>
              <w:spacing w:line="540" w:lineRule="exact"/>
              <w:ind w:firstLine="480"/>
              <w:jc w:val="center"/>
              <w:rPr>
                <w:rFonts w:asciiTheme="minorEastAsia" w:hAnsiTheme="minorEastAsia"/>
                <w:bCs/>
                <w:color w:val="auto"/>
                <w:szCs w:val="24"/>
              </w:rPr>
            </w:pPr>
          </w:p>
        </w:tc>
        <w:tc>
          <w:tcPr>
            <w:tcW w:w="700" w:type="dxa"/>
            <w:vAlign w:val="center"/>
          </w:tcPr>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质</w:t>
            </w:r>
          </w:p>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量</w:t>
            </w:r>
          </w:p>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员</w:t>
            </w:r>
          </w:p>
        </w:tc>
        <w:tc>
          <w:tcPr>
            <w:tcW w:w="831" w:type="dxa"/>
            <w:vAlign w:val="center"/>
          </w:tcPr>
          <w:p>
            <w:pPr>
              <w:autoSpaceDE w:val="0"/>
              <w:autoSpaceDN w:val="0"/>
              <w:spacing w:line="540" w:lineRule="exact"/>
              <w:ind w:left="0" w:leftChars="0" w:firstLine="0" w:firstLineChars="0"/>
              <w:jc w:val="both"/>
              <w:rPr>
                <w:rFonts w:hint="eastAsia" w:asciiTheme="minorEastAsia" w:hAnsiTheme="minorEastAsia"/>
                <w:bCs/>
                <w:color w:val="auto"/>
                <w:szCs w:val="24"/>
              </w:rPr>
            </w:pPr>
            <w:r>
              <w:rPr>
                <w:rFonts w:hint="eastAsia" w:ascii="仿宋" w:hAnsi="仿宋" w:eastAsia="仿宋"/>
                <w:color w:val="auto"/>
                <w:lang w:val="en-US" w:eastAsia="zh-CN"/>
              </w:rPr>
              <w:t>劳资专管员</w:t>
            </w:r>
          </w:p>
        </w:tc>
        <w:tc>
          <w:tcPr>
            <w:tcW w:w="823" w:type="dxa"/>
            <w:vAlign w:val="center"/>
          </w:tcPr>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资</w:t>
            </w:r>
          </w:p>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料</w:t>
            </w:r>
          </w:p>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bCs/>
                <w:color w:val="auto"/>
                <w:szCs w:val="24"/>
              </w:rPr>
              <w:t>员</w:t>
            </w:r>
          </w:p>
        </w:tc>
        <w:tc>
          <w:tcPr>
            <w:tcW w:w="1535"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小</w:t>
            </w:r>
          </w:p>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计</w:t>
            </w:r>
          </w:p>
          <w:p>
            <w:pPr>
              <w:autoSpaceDE w:val="0"/>
              <w:autoSpaceDN w:val="0"/>
              <w:spacing w:line="540" w:lineRule="exact"/>
              <w:ind w:firstLine="480"/>
              <w:jc w:val="center"/>
              <w:rPr>
                <w:rFonts w:asciiTheme="minorEastAsia" w:hAnsiTheme="minorEastAsia"/>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55" w:type="dxa"/>
            <w:vMerge w:val="restart"/>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市政工程</w:t>
            </w:r>
          </w:p>
        </w:tc>
        <w:tc>
          <w:tcPr>
            <w:tcW w:w="3493" w:type="dxa"/>
            <w:vAlign w:val="center"/>
          </w:tcPr>
          <w:p>
            <w:pPr>
              <w:autoSpaceDE w:val="0"/>
              <w:autoSpaceDN w:val="0"/>
              <w:spacing w:line="540" w:lineRule="exact"/>
              <w:ind w:firstLine="480"/>
              <w:jc w:val="left"/>
              <w:rPr>
                <w:rFonts w:asciiTheme="minorEastAsia" w:hAnsiTheme="minorEastAsia"/>
                <w:bCs/>
                <w:color w:val="auto"/>
                <w:szCs w:val="24"/>
              </w:rPr>
            </w:pPr>
            <w:r>
              <w:rPr>
                <w:rFonts w:hint="eastAsia" w:asciiTheme="minorEastAsia" w:hAnsiTheme="minorEastAsia"/>
                <w:bCs/>
                <w:color w:val="auto"/>
                <w:szCs w:val="24"/>
              </w:rPr>
              <w:t>工程合同价≤5000万元</w:t>
            </w:r>
          </w:p>
        </w:tc>
        <w:tc>
          <w:tcPr>
            <w:tcW w:w="1108"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431"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073"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280"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700"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1</w:t>
            </w:r>
          </w:p>
        </w:tc>
        <w:tc>
          <w:tcPr>
            <w:tcW w:w="831"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1</w:t>
            </w:r>
          </w:p>
        </w:tc>
        <w:tc>
          <w:tcPr>
            <w:tcW w:w="823" w:type="dxa"/>
            <w:vAlign w:val="center"/>
          </w:tcPr>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color w:val="auto"/>
                <w:szCs w:val="24"/>
              </w:rPr>
              <w:t>1☆</w:t>
            </w:r>
          </w:p>
        </w:tc>
        <w:tc>
          <w:tcPr>
            <w:tcW w:w="1535"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eastAsia="zh-CN"/>
              </w:rPr>
            </w:pPr>
            <w:r>
              <w:rPr>
                <w:rFonts w:hint="eastAsia" w:asciiTheme="minorEastAsia" w:hAnsiTheme="minorEastAsia"/>
                <w:bCs/>
                <w:color w:val="auto"/>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55" w:type="dxa"/>
            <w:vMerge w:val="continue"/>
            <w:vAlign w:val="center"/>
          </w:tcPr>
          <w:p>
            <w:pPr>
              <w:autoSpaceDE w:val="0"/>
              <w:autoSpaceDN w:val="0"/>
              <w:spacing w:line="540" w:lineRule="exact"/>
              <w:ind w:firstLine="480"/>
              <w:jc w:val="center"/>
              <w:rPr>
                <w:rFonts w:asciiTheme="minorEastAsia" w:hAnsiTheme="minorEastAsia"/>
                <w:bCs/>
                <w:color w:val="auto"/>
                <w:szCs w:val="24"/>
              </w:rPr>
            </w:pPr>
          </w:p>
        </w:tc>
        <w:tc>
          <w:tcPr>
            <w:tcW w:w="3493" w:type="dxa"/>
            <w:vAlign w:val="center"/>
          </w:tcPr>
          <w:p>
            <w:pPr>
              <w:autoSpaceDE w:val="0"/>
              <w:autoSpaceDN w:val="0"/>
              <w:spacing w:line="540" w:lineRule="exact"/>
              <w:ind w:firstLine="480"/>
              <w:jc w:val="left"/>
              <w:rPr>
                <w:rFonts w:asciiTheme="minorEastAsia" w:hAnsiTheme="minorEastAsia"/>
                <w:bCs/>
                <w:color w:val="auto"/>
                <w:szCs w:val="24"/>
              </w:rPr>
            </w:pPr>
            <w:r>
              <w:rPr>
                <w:rFonts w:hint="eastAsia" w:asciiTheme="minorEastAsia" w:hAnsiTheme="minorEastAsia"/>
                <w:bCs/>
                <w:color w:val="auto"/>
                <w:szCs w:val="24"/>
              </w:rPr>
              <w:t>5000万元＜工程合同价</w:t>
            </w:r>
            <w:r>
              <w:rPr>
                <w:rFonts w:hint="eastAsia" w:asciiTheme="minorEastAsia" w:hAnsiTheme="minorEastAsia"/>
                <w:color w:val="auto"/>
                <w:szCs w:val="24"/>
              </w:rPr>
              <w:t>≤</w:t>
            </w:r>
            <w:r>
              <w:rPr>
                <w:rFonts w:hint="eastAsia" w:asciiTheme="minorEastAsia" w:hAnsiTheme="minorEastAsia"/>
                <w:bCs/>
                <w:color w:val="auto"/>
                <w:szCs w:val="24"/>
              </w:rPr>
              <w:t>1亿元</w:t>
            </w:r>
          </w:p>
        </w:tc>
        <w:tc>
          <w:tcPr>
            <w:tcW w:w="1108"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431"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073"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2</w:t>
            </w:r>
          </w:p>
        </w:tc>
        <w:tc>
          <w:tcPr>
            <w:tcW w:w="1280"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2</w:t>
            </w:r>
          </w:p>
        </w:tc>
        <w:tc>
          <w:tcPr>
            <w:tcW w:w="700"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1</w:t>
            </w:r>
          </w:p>
        </w:tc>
        <w:tc>
          <w:tcPr>
            <w:tcW w:w="831"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1</w:t>
            </w:r>
          </w:p>
        </w:tc>
        <w:tc>
          <w:tcPr>
            <w:tcW w:w="823" w:type="dxa"/>
            <w:vAlign w:val="center"/>
          </w:tcPr>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color w:val="auto"/>
                <w:szCs w:val="24"/>
              </w:rPr>
              <w:t>1☆</w:t>
            </w:r>
          </w:p>
        </w:tc>
        <w:tc>
          <w:tcPr>
            <w:tcW w:w="1535"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eastAsia="zh-CN"/>
              </w:rPr>
            </w:pPr>
            <w:r>
              <w:rPr>
                <w:rFonts w:hint="eastAsia" w:asciiTheme="minorEastAsia" w:hAnsiTheme="minorEastAsia"/>
                <w:bCs/>
                <w:color w:val="auto"/>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55" w:type="dxa"/>
            <w:vMerge w:val="continue"/>
            <w:vAlign w:val="center"/>
          </w:tcPr>
          <w:p>
            <w:pPr>
              <w:autoSpaceDE w:val="0"/>
              <w:autoSpaceDN w:val="0"/>
              <w:spacing w:line="540" w:lineRule="exact"/>
              <w:ind w:firstLine="480"/>
              <w:jc w:val="center"/>
              <w:rPr>
                <w:rFonts w:asciiTheme="minorEastAsia" w:hAnsiTheme="minorEastAsia"/>
                <w:bCs/>
                <w:color w:val="auto"/>
                <w:szCs w:val="24"/>
              </w:rPr>
            </w:pPr>
          </w:p>
        </w:tc>
        <w:tc>
          <w:tcPr>
            <w:tcW w:w="3493" w:type="dxa"/>
            <w:vAlign w:val="center"/>
          </w:tcPr>
          <w:p>
            <w:pPr>
              <w:autoSpaceDE w:val="0"/>
              <w:autoSpaceDN w:val="0"/>
              <w:spacing w:line="540" w:lineRule="exact"/>
              <w:ind w:firstLine="480"/>
              <w:jc w:val="left"/>
              <w:rPr>
                <w:rFonts w:asciiTheme="minorEastAsia" w:hAnsiTheme="minorEastAsia"/>
                <w:bCs/>
                <w:color w:val="auto"/>
                <w:szCs w:val="24"/>
              </w:rPr>
            </w:pPr>
            <w:r>
              <w:rPr>
                <w:rFonts w:hint="eastAsia" w:asciiTheme="minorEastAsia" w:hAnsiTheme="minorEastAsia"/>
                <w:bCs/>
                <w:color w:val="auto"/>
                <w:szCs w:val="24"/>
              </w:rPr>
              <w:t>工程合同价＞1亿元</w:t>
            </w:r>
          </w:p>
        </w:tc>
        <w:tc>
          <w:tcPr>
            <w:tcW w:w="1108"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431"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1</w:t>
            </w:r>
          </w:p>
        </w:tc>
        <w:tc>
          <w:tcPr>
            <w:tcW w:w="1073"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3</w:t>
            </w:r>
          </w:p>
        </w:tc>
        <w:tc>
          <w:tcPr>
            <w:tcW w:w="1280" w:type="dxa"/>
            <w:vAlign w:val="center"/>
          </w:tcPr>
          <w:p>
            <w:pPr>
              <w:autoSpaceDE w:val="0"/>
              <w:autoSpaceDN w:val="0"/>
              <w:spacing w:line="540" w:lineRule="exact"/>
              <w:ind w:firstLine="480"/>
              <w:jc w:val="center"/>
              <w:rPr>
                <w:rFonts w:asciiTheme="minorEastAsia" w:hAnsiTheme="minorEastAsia"/>
                <w:bCs/>
                <w:color w:val="auto"/>
                <w:szCs w:val="24"/>
              </w:rPr>
            </w:pPr>
            <w:r>
              <w:rPr>
                <w:rFonts w:hint="eastAsia" w:asciiTheme="minorEastAsia" w:hAnsiTheme="minorEastAsia"/>
                <w:bCs/>
                <w:color w:val="auto"/>
                <w:szCs w:val="24"/>
              </w:rPr>
              <w:t>3</w:t>
            </w:r>
          </w:p>
        </w:tc>
        <w:tc>
          <w:tcPr>
            <w:tcW w:w="700"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2</w:t>
            </w:r>
          </w:p>
        </w:tc>
        <w:tc>
          <w:tcPr>
            <w:tcW w:w="831"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val="en-US" w:eastAsia="zh-CN"/>
              </w:rPr>
            </w:pPr>
            <w:r>
              <w:rPr>
                <w:rFonts w:hint="eastAsia" w:asciiTheme="minorEastAsia" w:hAnsiTheme="minorEastAsia"/>
                <w:bCs/>
                <w:color w:val="auto"/>
                <w:szCs w:val="24"/>
                <w:lang w:val="en-US" w:eastAsia="zh-CN"/>
              </w:rPr>
              <w:t>1</w:t>
            </w:r>
          </w:p>
        </w:tc>
        <w:tc>
          <w:tcPr>
            <w:tcW w:w="823" w:type="dxa"/>
            <w:vAlign w:val="center"/>
          </w:tcPr>
          <w:p>
            <w:pPr>
              <w:autoSpaceDE w:val="0"/>
              <w:autoSpaceDN w:val="0"/>
              <w:spacing w:line="540" w:lineRule="exact"/>
              <w:ind w:left="0" w:leftChars="0" w:firstLine="0" w:firstLineChars="0"/>
              <w:jc w:val="both"/>
              <w:rPr>
                <w:rFonts w:asciiTheme="minorEastAsia" w:hAnsiTheme="minorEastAsia"/>
                <w:bCs/>
                <w:color w:val="auto"/>
                <w:szCs w:val="24"/>
              </w:rPr>
            </w:pPr>
            <w:r>
              <w:rPr>
                <w:rFonts w:hint="eastAsia" w:asciiTheme="minorEastAsia" w:hAnsiTheme="minorEastAsia"/>
                <w:color w:val="auto"/>
                <w:szCs w:val="24"/>
              </w:rPr>
              <w:t>1</w:t>
            </w:r>
          </w:p>
        </w:tc>
        <w:tc>
          <w:tcPr>
            <w:tcW w:w="1535" w:type="dxa"/>
            <w:vAlign w:val="center"/>
          </w:tcPr>
          <w:p>
            <w:pPr>
              <w:autoSpaceDE w:val="0"/>
              <w:autoSpaceDN w:val="0"/>
              <w:spacing w:line="540" w:lineRule="exact"/>
              <w:ind w:firstLine="480"/>
              <w:jc w:val="center"/>
              <w:rPr>
                <w:rFonts w:hint="eastAsia" w:asciiTheme="minorEastAsia" w:hAnsiTheme="minorEastAsia" w:eastAsiaTheme="minorEastAsia"/>
                <w:bCs/>
                <w:color w:val="auto"/>
                <w:szCs w:val="24"/>
                <w:lang w:eastAsia="zh-CN"/>
              </w:rPr>
            </w:pPr>
            <w:r>
              <w:rPr>
                <w:rFonts w:hint="eastAsia" w:asciiTheme="minorEastAsia" w:hAnsiTheme="minorEastAsia"/>
                <w:bCs/>
                <w:color w:val="auto"/>
                <w:szCs w:val="24"/>
              </w:rPr>
              <w:t>1</w:t>
            </w:r>
            <w:r>
              <w:rPr>
                <w:rFonts w:hint="eastAsia" w:asciiTheme="minorEastAsia" w:hAnsiTheme="minorEastAsia"/>
                <w:bCs/>
                <w:color w:val="auto"/>
                <w:szCs w:val="24"/>
                <w:lang w:val="en-US" w:eastAsia="zh-CN"/>
              </w:rPr>
              <w:t>2</w:t>
            </w:r>
          </w:p>
        </w:tc>
      </w:tr>
    </w:tbl>
    <w:p>
      <w:pPr>
        <w:spacing w:line="540" w:lineRule="exact"/>
        <w:ind w:firstLine="120" w:firstLineChars="50"/>
        <w:rPr>
          <w:rFonts w:asciiTheme="minorEastAsia" w:hAnsiTheme="minorEastAsia"/>
          <w:bCs/>
          <w:color w:val="auto"/>
          <w:szCs w:val="24"/>
        </w:rPr>
      </w:pPr>
      <w:r>
        <w:rPr>
          <w:rFonts w:hint="eastAsia" w:asciiTheme="minorEastAsia" w:hAnsiTheme="minorEastAsia"/>
          <w:bCs/>
          <w:color w:val="auto"/>
          <w:szCs w:val="24"/>
        </w:rPr>
        <w:t xml:space="preserve">    备注: </w:t>
      </w:r>
    </w:p>
    <w:p>
      <w:pPr>
        <w:spacing w:line="540" w:lineRule="exact"/>
        <w:ind w:firstLine="120" w:firstLineChars="50"/>
        <w:rPr>
          <w:rFonts w:asciiTheme="minorEastAsia" w:hAnsiTheme="minorEastAsia"/>
          <w:bCs/>
          <w:color w:val="auto"/>
          <w:szCs w:val="24"/>
        </w:rPr>
      </w:pPr>
      <w:r>
        <w:rPr>
          <w:rFonts w:hint="eastAsia" w:asciiTheme="minorEastAsia" w:hAnsiTheme="minorEastAsia"/>
          <w:bCs/>
          <w:color w:val="auto"/>
          <w:szCs w:val="24"/>
        </w:rPr>
        <w:t xml:space="preserve">    1.造价低于1000万元的工程，岗位人员总人数可减少至3人，即项目负责人1人、施工员1人、安全员1人。</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2.城市桥梁、地下交通中的隧道工程、轻轨交通中的桥涵工程，应适当增加施工员、质量员、安全员人数。</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3.资料员可以由其他岗位人员兼任，但应取得资料员岗位证书</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4.工程合同价在1亿元以上时，每增加5000万元，施工员、安全员、质量员各增加1人，并按1.5亿、2.5亿、4亿、6.5亿等相邻数</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据相加的类推方式确定步距计算增加关键岗位人员，每步距各增加1人，超过50%按一个步距计算。</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5.小计为项目班子关岗位人员配备数量，表中所列人员配备数量为总承包项目部人员。</w:t>
      </w:r>
    </w:p>
    <w:p>
      <w:pPr>
        <w:spacing w:line="540" w:lineRule="exact"/>
        <w:ind w:firstLine="480"/>
        <w:rPr>
          <w:rFonts w:asciiTheme="minorEastAsia" w:hAnsiTheme="minorEastAsia"/>
          <w:bCs/>
          <w:color w:val="auto"/>
          <w:szCs w:val="24"/>
        </w:rPr>
      </w:pPr>
      <w:r>
        <w:rPr>
          <w:rFonts w:hint="eastAsia" w:asciiTheme="minorEastAsia" w:hAnsiTheme="minorEastAsia"/>
          <w:bCs/>
          <w:color w:val="auto"/>
          <w:szCs w:val="24"/>
        </w:rPr>
        <w:t xml:space="preserve"> 6.此标准为关键岗位人员最低配备标准。当安全员为2人及以上时，其中一名安全员参与机械起重设备安全管理；安全员为1人时，企业须配备专职或兼职机械管理人员。</w:t>
      </w:r>
    </w:p>
    <w:p>
      <w:pPr>
        <w:spacing w:line="540" w:lineRule="exact"/>
        <w:ind w:firstLine="120" w:firstLineChars="50"/>
        <w:rPr>
          <w:rFonts w:asciiTheme="minorEastAsia" w:hAnsiTheme="minorEastAsia"/>
          <w:bCs/>
          <w:color w:val="auto"/>
          <w:szCs w:val="24"/>
        </w:rPr>
      </w:pPr>
      <w:r>
        <w:rPr>
          <w:rFonts w:hint="eastAsia" w:asciiTheme="minorEastAsia" w:hAnsiTheme="minorEastAsia"/>
          <w:bCs/>
          <w:color w:val="auto"/>
          <w:szCs w:val="24"/>
        </w:rPr>
        <w:t xml:space="preserve">    7.对于复杂的体育场所、综合性工程以及工期较紧、多班施工作业的工程，在以上配备标准基础上应适当增加施工员、质量员、安全员</w:t>
      </w:r>
    </w:p>
    <w:p>
      <w:pPr>
        <w:spacing w:line="540" w:lineRule="exact"/>
        <w:ind w:firstLine="120" w:firstLineChars="50"/>
        <w:rPr>
          <w:rFonts w:asciiTheme="minorEastAsia" w:hAnsiTheme="minorEastAsia"/>
          <w:bCs/>
          <w:color w:val="auto"/>
          <w:szCs w:val="24"/>
        </w:rPr>
      </w:pPr>
      <w:r>
        <w:rPr>
          <w:rFonts w:hint="eastAsia" w:asciiTheme="minorEastAsia" w:hAnsiTheme="minorEastAsia"/>
          <w:bCs/>
          <w:color w:val="auto"/>
          <w:szCs w:val="24"/>
        </w:rPr>
        <w:t>人数。</w:t>
      </w:r>
    </w:p>
    <w:p>
      <w:pPr>
        <w:spacing w:line="540" w:lineRule="exact"/>
        <w:ind w:firstLine="360" w:firstLineChars="150"/>
        <w:rPr>
          <w:rFonts w:asciiTheme="minorEastAsia" w:hAnsiTheme="minorEastAsia"/>
          <w:bCs/>
          <w:color w:val="auto"/>
          <w:szCs w:val="24"/>
        </w:rPr>
      </w:pPr>
      <w:r>
        <w:rPr>
          <w:rFonts w:hint="eastAsia" w:asciiTheme="minorEastAsia" w:hAnsiTheme="minorEastAsia"/>
          <w:bCs/>
          <w:color w:val="auto"/>
          <w:szCs w:val="24"/>
        </w:rPr>
        <w:t xml:space="preserve">  8.施工项目部其他岗位人员由投标单位自主配备，兼职人员应具有兼任岗位的岗位资格证书。</w:t>
      </w:r>
    </w:p>
    <w:p>
      <w:pPr>
        <w:spacing w:line="540" w:lineRule="exact"/>
        <w:ind w:firstLine="360" w:firstLineChars="150"/>
        <w:rPr>
          <w:rFonts w:asciiTheme="minorEastAsia" w:hAnsiTheme="minorEastAsia"/>
          <w:color w:val="auto"/>
          <w:szCs w:val="24"/>
        </w:rPr>
      </w:pPr>
      <w:r>
        <w:rPr>
          <w:rFonts w:hint="eastAsia" w:asciiTheme="minorEastAsia" w:hAnsiTheme="minorEastAsia"/>
          <w:bCs/>
          <w:color w:val="auto"/>
          <w:szCs w:val="24"/>
        </w:rPr>
        <w:t xml:space="preserve">  9.</w:t>
      </w:r>
      <w:r>
        <w:rPr>
          <w:rFonts w:hint="eastAsia" w:asciiTheme="minorEastAsia" w:hAnsiTheme="minorEastAsia"/>
          <w:color w:val="auto"/>
          <w:szCs w:val="24"/>
        </w:rPr>
        <w:t>岗位资格证书应当以建设行政主管部门颁发的证书为准。</w:t>
      </w:r>
    </w:p>
    <w:p>
      <w:pPr>
        <w:rPr>
          <w:rFonts w:asciiTheme="minorEastAsia" w:hAnsiTheme="minorEastAsia"/>
          <w:color w:val="auto"/>
          <w:szCs w:val="24"/>
        </w:rPr>
      </w:pPr>
      <w:r>
        <w:rPr>
          <w:rFonts w:asciiTheme="minorEastAsia" w:hAnsiTheme="minorEastAsia"/>
          <w:color w:val="auto"/>
          <w:szCs w:val="24"/>
        </w:rPr>
        <w:br w:type="page"/>
      </w:r>
    </w:p>
    <w:p>
      <w:pPr>
        <w:spacing w:line="540" w:lineRule="exact"/>
        <w:ind w:firstLine="360" w:firstLineChars="150"/>
        <w:rPr>
          <w:rFonts w:asciiTheme="minorEastAsia" w:hAnsiTheme="minorEastAsia"/>
          <w:color w:val="auto"/>
          <w:szCs w:val="24"/>
        </w:rPr>
      </w:pPr>
    </w:p>
    <w:p>
      <w:pPr>
        <w:autoSpaceDE w:val="0"/>
        <w:autoSpaceDN w:val="0"/>
        <w:spacing w:line="540" w:lineRule="exact"/>
        <w:ind w:firstLine="0" w:firstLineChars="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专业工程</w:t>
      </w:r>
    </w:p>
    <w:tbl>
      <w:tblPr>
        <w:tblStyle w:val="27"/>
        <w:tblW w:w="13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3455"/>
        <w:gridCol w:w="1177"/>
        <w:gridCol w:w="1286"/>
        <w:gridCol w:w="1142"/>
        <w:gridCol w:w="1109"/>
        <w:gridCol w:w="957"/>
        <w:gridCol w:w="132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345" w:type="dxa"/>
            <w:gridSpan w:val="2"/>
            <w:vMerge w:val="restart"/>
            <w:tcBorders>
              <w:tl2br w:val="single" w:color="auto" w:sz="4" w:space="0"/>
            </w:tcBorders>
          </w:tcPr>
          <w:p>
            <w:pPr>
              <w:autoSpaceDE w:val="0"/>
              <w:autoSpaceDN w:val="0"/>
              <w:spacing w:line="540" w:lineRule="exact"/>
              <w:ind w:firstLine="480"/>
              <w:rPr>
                <w:rFonts w:asciiTheme="minorEastAsia" w:hAnsiTheme="minorEastAsia"/>
                <w:color w:val="auto"/>
                <w:szCs w:val="24"/>
              </w:rPr>
            </w:pPr>
            <w:r>
              <w:rPr>
                <w:rFonts w:hint="eastAsia" w:asciiTheme="minorEastAsia" w:hAnsiTheme="minorEastAsia"/>
                <w:color w:val="auto"/>
                <w:szCs w:val="24"/>
              </w:rPr>
              <w:t xml:space="preserve">        </w:t>
            </w:r>
            <w:r>
              <w:rPr>
                <w:rFonts w:hint="eastAsia" w:asciiTheme="minorEastAsia" w:hAnsiTheme="minorEastAsia"/>
                <w:color w:val="auto"/>
                <w:szCs w:val="24"/>
                <w:shd w:val="clear" w:color="auto" w:fill="FFFFFF"/>
              </w:rPr>
              <w:t>施工项目部关键岗位人员</w:t>
            </w:r>
            <w:r>
              <w:rPr>
                <w:rFonts w:hint="eastAsia" w:asciiTheme="minorEastAsia" w:hAnsiTheme="minorEastAsia"/>
                <w:color w:val="auto"/>
                <w:szCs w:val="24"/>
              </w:rPr>
              <w:t>配备标准</w:t>
            </w:r>
          </w:p>
          <w:p>
            <w:pPr>
              <w:autoSpaceDE w:val="0"/>
              <w:autoSpaceDN w:val="0"/>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工程类别（工程合同价：万元）</w:t>
            </w:r>
          </w:p>
        </w:tc>
        <w:tc>
          <w:tcPr>
            <w:tcW w:w="8504" w:type="dxa"/>
            <w:gridSpan w:val="7"/>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shd w:val="clear" w:color="auto" w:fill="FFFFFF"/>
              </w:rPr>
              <w:t>施工项目部关键岗位人员</w:t>
            </w:r>
            <w:r>
              <w:rPr>
                <w:rFonts w:hint="eastAsia" w:asciiTheme="minorEastAsia" w:hAnsiTheme="minorEastAsia"/>
                <w:color w:val="auto"/>
                <w:szCs w:val="24"/>
              </w:rPr>
              <w:t>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5345" w:type="dxa"/>
            <w:gridSpan w:val="2"/>
            <w:vMerge w:val="continue"/>
            <w:tcBorders>
              <w:tl2br w:val="single" w:color="auto" w:sz="4" w:space="0"/>
            </w:tcBorders>
          </w:tcPr>
          <w:p>
            <w:pPr>
              <w:autoSpaceDE w:val="0"/>
              <w:autoSpaceDN w:val="0"/>
              <w:spacing w:line="540" w:lineRule="exact"/>
              <w:ind w:firstLine="480"/>
              <w:rPr>
                <w:rFonts w:asciiTheme="minorEastAsia" w:hAnsiTheme="minorEastAsia"/>
                <w:color w:val="auto"/>
                <w:szCs w:val="24"/>
              </w:rPr>
            </w:pPr>
          </w:p>
        </w:tc>
        <w:tc>
          <w:tcPr>
            <w:tcW w:w="11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项</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目</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负</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责</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人</w:t>
            </w:r>
          </w:p>
        </w:tc>
        <w:tc>
          <w:tcPr>
            <w:tcW w:w="1286"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技</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术</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负</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责</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人</w:t>
            </w:r>
          </w:p>
        </w:tc>
        <w:tc>
          <w:tcPr>
            <w:tcW w:w="1142"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施</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工</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员</w:t>
            </w:r>
          </w:p>
          <w:p>
            <w:pPr>
              <w:autoSpaceDE w:val="0"/>
              <w:autoSpaceDN w:val="0"/>
              <w:spacing w:line="540" w:lineRule="exact"/>
              <w:ind w:firstLine="480"/>
              <w:jc w:val="center"/>
              <w:rPr>
                <w:rFonts w:asciiTheme="minorEastAsia" w:hAnsiTheme="minorEastAsia"/>
                <w:color w:val="auto"/>
                <w:szCs w:val="24"/>
              </w:rPr>
            </w:pPr>
          </w:p>
        </w:tc>
        <w:tc>
          <w:tcPr>
            <w:tcW w:w="1109" w:type="dxa"/>
            <w:vAlign w:val="center"/>
          </w:tcPr>
          <w:p>
            <w:pPr>
              <w:autoSpaceDE w:val="0"/>
              <w:autoSpaceDN w:val="0"/>
              <w:spacing w:line="540" w:lineRule="exact"/>
              <w:ind w:firstLine="0" w:firstLineChars="0"/>
              <w:rPr>
                <w:rFonts w:hint="eastAsia" w:ascii="仿宋" w:hAnsi="仿宋" w:eastAsia="仿宋"/>
                <w:color w:val="auto"/>
                <w:lang w:eastAsia="zh-CN"/>
              </w:rPr>
            </w:pPr>
            <w:r>
              <w:rPr>
                <w:rFonts w:hint="eastAsia" w:ascii="仿宋" w:hAnsi="仿宋" w:eastAsia="仿宋"/>
                <w:color w:val="auto"/>
                <w:lang w:eastAsia="zh-CN"/>
              </w:rPr>
              <w:t>专职安全生产</w:t>
            </w:r>
          </w:p>
          <w:p>
            <w:pPr>
              <w:autoSpaceDE w:val="0"/>
              <w:autoSpaceDN w:val="0"/>
              <w:spacing w:line="540" w:lineRule="exact"/>
              <w:ind w:left="0" w:leftChars="0" w:firstLine="0" w:firstLineChars="0"/>
              <w:jc w:val="both"/>
              <w:rPr>
                <w:rFonts w:asciiTheme="minorEastAsia" w:hAnsiTheme="minorEastAsia"/>
                <w:color w:val="auto"/>
                <w:szCs w:val="24"/>
              </w:rPr>
            </w:pPr>
            <w:r>
              <w:rPr>
                <w:rFonts w:hint="eastAsia" w:ascii="仿宋" w:hAnsi="仿宋" w:eastAsia="仿宋"/>
                <w:color w:val="auto"/>
                <w:lang w:eastAsia="zh-CN"/>
              </w:rPr>
              <w:t>管理人员</w:t>
            </w:r>
          </w:p>
        </w:tc>
        <w:tc>
          <w:tcPr>
            <w:tcW w:w="957" w:type="dxa"/>
            <w:vAlign w:val="center"/>
          </w:tcPr>
          <w:p>
            <w:pPr>
              <w:autoSpaceDE w:val="0"/>
              <w:autoSpaceDN w:val="0"/>
              <w:spacing w:line="540" w:lineRule="exact"/>
              <w:ind w:left="0" w:leftChars="0" w:firstLine="0" w:firstLineChars="0"/>
              <w:jc w:val="both"/>
              <w:rPr>
                <w:rFonts w:hint="eastAsia" w:ascii="仿宋" w:hAnsi="仿宋" w:eastAsia="仿宋"/>
                <w:color w:val="auto"/>
                <w:lang w:eastAsia="zh-CN"/>
              </w:rPr>
            </w:pPr>
            <w:r>
              <w:rPr>
                <w:rFonts w:hint="eastAsia" w:ascii="仿宋" w:hAnsi="仿宋" w:eastAsia="仿宋"/>
                <w:color w:val="auto"/>
                <w:lang w:val="en-US" w:eastAsia="zh-CN"/>
              </w:rPr>
              <w:t>劳资专管员</w:t>
            </w:r>
          </w:p>
        </w:tc>
        <w:tc>
          <w:tcPr>
            <w:tcW w:w="132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资</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料</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员</w:t>
            </w:r>
          </w:p>
        </w:tc>
        <w:tc>
          <w:tcPr>
            <w:tcW w:w="1512"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小</w:t>
            </w:r>
          </w:p>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计</w:t>
            </w:r>
          </w:p>
          <w:p>
            <w:pPr>
              <w:autoSpaceDE w:val="0"/>
              <w:autoSpaceDN w:val="0"/>
              <w:spacing w:line="540" w:lineRule="exact"/>
              <w:ind w:firstLine="480"/>
              <w:jc w:val="center"/>
              <w:rPr>
                <w:rFonts w:asciiTheme="minorEastAsia" w:hAnsi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90" w:type="dxa"/>
            <w:vMerge w:val="restart"/>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专业承包工程</w:t>
            </w:r>
          </w:p>
        </w:tc>
        <w:tc>
          <w:tcPr>
            <w:tcW w:w="3455" w:type="dxa"/>
            <w:vAlign w:val="center"/>
          </w:tcPr>
          <w:p>
            <w:pPr>
              <w:autoSpaceDE w:val="0"/>
              <w:autoSpaceDN w:val="0"/>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工程合同价≤1200万元</w:t>
            </w:r>
          </w:p>
        </w:tc>
        <w:tc>
          <w:tcPr>
            <w:tcW w:w="11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286"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142"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109"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95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32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51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890" w:type="dxa"/>
            <w:vMerge w:val="continue"/>
            <w:vAlign w:val="center"/>
          </w:tcPr>
          <w:p>
            <w:pPr>
              <w:autoSpaceDE w:val="0"/>
              <w:autoSpaceDN w:val="0"/>
              <w:spacing w:line="540" w:lineRule="exact"/>
              <w:ind w:firstLine="480"/>
              <w:jc w:val="center"/>
              <w:rPr>
                <w:rFonts w:asciiTheme="minorEastAsia" w:hAnsiTheme="minorEastAsia"/>
                <w:color w:val="auto"/>
                <w:szCs w:val="24"/>
              </w:rPr>
            </w:pPr>
          </w:p>
        </w:tc>
        <w:tc>
          <w:tcPr>
            <w:tcW w:w="3455" w:type="dxa"/>
            <w:vAlign w:val="center"/>
          </w:tcPr>
          <w:p>
            <w:pPr>
              <w:autoSpaceDE w:val="0"/>
              <w:autoSpaceDN w:val="0"/>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1200万元＜工程合同价≤3000万元</w:t>
            </w:r>
          </w:p>
        </w:tc>
        <w:tc>
          <w:tcPr>
            <w:tcW w:w="11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286"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142"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109"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2</w:t>
            </w:r>
          </w:p>
        </w:tc>
        <w:tc>
          <w:tcPr>
            <w:tcW w:w="95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32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51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90" w:type="dxa"/>
            <w:vMerge w:val="continue"/>
            <w:vAlign w:val="center"/>
          </w:tcPr>
          <w:p>
            <w:pPr>
              <w:autoSpaceDE w:val="0"/>
              <w:autoSpaceDN w:val="0"/>
              <w:spacing w:line="540" w:lineRule="exact"/>
              <w:ind w:firstLine="480"/>
              <w:jc w:val="center"/>
              <w:rPr>
                <w:rFonts w:asciiTheme="minorEastAsia" w:hAnsiTheme="minorEastAsia"/>
                <w:color w:val="auto"/>
                <w:szCs w:val="24"/>
              </w:rPr>
            </w:pPr>
          </w:p>
        </w:tc>
        <w:tc>
          <w:tcPr>
            <w:tcW w:w="3455" w:type="dxa"/>
            <w:vAlign w:val="center"/>
          </w:tcPr>
          <w:p>
            <w:pPr>
              <w:autoSpaceDE w:val="0"/>
              <w:autoSpaceDN w:val="0"/>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工程合同价＞3000万元</w:t>
            </w:r>
          </w:p>
        </w:tc>
        <w:tc>
          <w:tcPr>
            <w:tcW w:w="1177"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286"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142"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w:t>
            </w:r>
          </w:p>
        </w:tc>
        <w:tc>
          <w:tcPr>
            <w:tcW w:w="1109"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2</w:t>
            </w:r>
          </w:p>
        </w:tc>
        <w:tc>
          <w:tcPr>
            <w:tcW w:w="957"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val="en-US" w:eastAsia="zh-CN"/>
              </w:rPr>
            </w:pPr>
            <w:r>
              <w:rPr>
                <w:rFonts w:hint="eastAsia" w:asciiTheme="minorEastAsia" w:hAnsiTheme="minorEastAsia"/>
                <w:color w:val="auto"/>
                <w:szCs w:val="24"/>
                <w:lang w:val="en-US" w:eastAsia="zh-CN"/>
              </w:rPr>
              <w:t>1</w:t>
            </w:r>
          </w:p>
        </w:tc>
        <w:tc>
          <w:tcPr>
            <w:tcW w:w="1321" w:type="dxa"/>
            <w:vAlign w:val="center"/>
          </w:tcPr>
          <w:p>
            <w:pPr>
              <w:autoSpaceDE w:val="0"/>
              <w:autoSpaceDN w:val="0"/>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1512" w:type="dxa"/>
            <w:vAlign w:val="center"/>
          </w:tcPr>
          <w:p>
            <w:pPr>
              <w:autoSpaceDE w:val="0"/>
              <w:autoSpaceDN w:val="0"/>
              <w:spacing w:line="540" w:lineRule="exact"/>
              <w:ind w:firstLine="480"/>
              <w:jc w:val="center"/>
              <w:rPr>
                <w:rFonts w:hint="eastAsia" w:asciiTheme="minorEastAsia" w:hAnsiTheme="minorEastAsia" w:eastAsiaTheme="minorEastAsia"/>
                <w:color w:val="auto"/>
                <w:szCs w:val="24"/>
                <w:lang w:eastAsia="zh-CN"/>
              </w:rPr>
            </w:pPr>
            <w:r>
              <w:rPr>
                <w:rFonts w:hint="eastAsia" w:asciiTheme="minorEastAsia" w:hAnsiTheme="minorEastAsia"/>
                <w:color w:val="auto"/>
                <w:szCs w:val="24"/>
                <w:lang w:val="en-US" w:eastAsia="zh-CN"/>
              </w:rPr>
              <w:t>8</w:t>
            </w:r>
          </w:p>
        </w:tc>
      </w:tr>
    </w:tbl>
    <w:p>
      <w:pPr>
        <w:autoSpaceDE w:val="0"/>
        <w:autoSpaceDN w:val="0"/>
        <w:spacing w:line="540" w:lineRule="exact"/>
        <w:ind w:firstLine="480"/>
        <w:rPr>
          <w:rFonts w:asciiTheme="minorEastAsia" w:hAnsiTheme="minorEastAsia"/>
          <w:color w:val="auto"/>
          <w:szCs w:val="24"/>
        </w:rPr>
      </w:pPr>
      <w:r>
        <w:rPr>
          <w:rFonts w:hint="eastAsia" w:asciiTheme="minorEastAsia" w:hAnsiTheme="minorEastAsia"/>
          <w:color w:val="auto"/>
          <w:szCs w:val="24"/>
        </w:rPr>
        <w:t xml:space="preserve">备注: </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1.3000万元以上工程，每增加2000万元，施工员、安全员、质量员各增加１人，并按5000万、8000万、1.3亿等相邻数据相加的类推方式确定步距计算增加关键岗位人员，每步距各增加1人，超过50%按一个步距计算。</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2.小计为项目班子关岗位人员配备数量，表中所列人员配备数量为总承包项目部人员，兼任的岗位用☆表示，兼职人员应具有兼任岗位的岗位资格证书。</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3.此标准为关键岗位人员最低配备标准。当安全员为2人及以上时，其中一名安全员参与机械起重设备安全管理；安全员为1人时，企业须配备专职或兼职机械管理人员。</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4.对于复杂的综合性工程以及工期较紧、多班施工作业的工程，在以上配备标准基础上应适当增加施工员、质量员、 安全员人数。</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5.施工项目部其他岗位人员由投标单位自主配备。</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6.岗位资格证书应当以建设行政主管部门颁发的证书为准。</w:t>
      </w:r>
    </w:p>
    <w:p>
      <w:pPr>
        <w:spacing w:line="540" w:lineRule="exact"/>
        <w:ind w:firstLine="480"/>
        <w:rPr>
          <w:rFonts w:asciiTheme="minorEastAsia" w:hAnsiTheme="minorEastAsia"/>
          <w:color w:val="auto"/>
          <w:szCs w:val="24"/>
        </w:rPr>
        <w:sectPr>
          <w:pgSz w:w="16838" w:h="11906" w:orient="landscape"/>
          <w:pgMar w:top="1800" w:right="1440" w:bottom="1800" w:left="1440" w:header="851" w:footer="992" w:gutter="0"/>
          <w:cols w:space="425" w:num="1"/>
          <w:docGrid w:type="lines" w:linePitch="326" w:charSpace="0"/>
        </w:sectPr>
      </w:pPr>
      <w:r>
        <w:rPr>
          <w:rFonts w:hint="eastAsia" w:asciiTheme="minorEastAsia" w:hAnsiTheme="minorEastAsia"/>
          <w:color w:val="auto"/>
          <w:szCs w:val="24"/>
        </w:rPr>
        <w:t>7.绿化种植工程专业招标时，拟派项目负责人应具有在本省行政区域内承担过招标项目类似工程业绩。</w:t>
      </w:r>
      <w:r>
        <w:rPr>
          <w:rFonts w:asciiTheme="minorEastAsia" w:hAnsiTheme="minorEastAsia"/>
          <w:color w:val="auto"/>
          <w:szCs w:val="24"/>
        </w:rPr>
        <w:br w:type="page"/>
      </w:r>
    </w:p>
    <w:p>
      <w:pPr>
        <w:spacing w:line="540" w:lineRule="exact"/>
        <w:ind w:firstLine="0" w:firstLineChars="0"/>
        <w:jc w:val="left"/>
        <w:rPr>
          <w:rFonts w:hint="eastAsia" w:ascii="方正楷体简体" w:hAnsi="方正楷体简体" w:eastAsia="方正楷体简体" w:cs="方正楷体简体"/>
          <w:color w:val="auto"/>
          <w:sz w:val="28"/>
          <w:szCs w:val="28"/>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pStyle w:val="5"/>
        <w:spacing w:line="540" w:lineRule="exact"/>
        <w:ind w:firstLine="640"/>
        <w:jc w:val="center"/>
        <w:rPr>
          <w:rFonts w:ascii="黑体" w:hAnsi="黑体" w:eastAsia="黑体"/>
          <w:b w:val="0"/>
          <w:color w:val="auto"/>
          <w:sz w:val="32"/>
          <w:szCs w:val="32"/>
        </w:rPr>
      </w:pPr>
      <w:r>
        <w:rPr>
          <w:rFonts w:hint="eastAsia" w:ascii="黑体" w:hAnsi="黑体" w:eastAsia="黑体"/>
          <w:b w:val="0"/>
          <w:color w:val="auto"/>
          <w:sz w:val="32"/>
          <w:szCs w:val="32"/>
        </w:rPr>
        <w:t>工程成本参考计算表</w:t>
      </w:r>
    </w:p>
    <w:tbl>
      <w:tblPr>
        <w:tblStyle w:val="27"/>
        <w:tblpPr w:leftFromText="180" w:rightFromText="180" w:vertAnchor="text" w:horzAnchor="page" w:tblpX="1165" w:tblpY="194"/>
        <w:tblOverlap w:val="never"/>
        <w:tblW w:w="14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278"/>
        <w:gridCol w:w="1980"/>
        <w:gridCol w:w="1935"/>
        <w:gridCol w:w="1962"/>
        <w:gridCol w:w="193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65"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序号</w:t>
            </w:r>
          </w:p>
        </w:tc>
        <w:tc>
          <w:tcPr>
            <w:tcW w:w="4278"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费用组成</w:t>
            </w:r>
          </w:p>
        </w:tc>
        <w:tc>
          <w:tcPr>
            <w:tcW w:w="1980"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房屋建筑工程</w:t>
            </w:r>
          </w:p>
        </w:tc>
        <w:tc>
          <w:tcPr>
            <w:tcW w:w="1935"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园建工程（或综合园林工程）</w:t>
            </w:r>
          </w:p>
        </w:tc>
        <w:tc>
          <w:tcPr>
            <w:tcW w:w="1962"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市政工程</w:t>
            </w:r>
          </w:p>
        </w:tc>
        <w:tc>
          <w:tcPr>
            <w:tcW w:w="1938"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专业工程</w:t>
            </w:r>
          </w:p>
        </w:tc>
        <w:tc>
          <w:tcPr>
            <w:tcW w:w="1932" w:type="dxa"/>
            <w:vAlign w:val="center"/>
          </w:tcPr>
          <w:p>
            <w:pPr>
              <w:spacing w:line="540" w:lineRule="exact"/>
              <w:ind w:firstLine="0" w:firstLineChars="0"/>
              <w:jc w:val="center"/>
              <w:rPr>
                <w:rFonts w:asciiTheme="minorEastAsia" w:hAnsiTheme="minorEastAsia"/>
                <w:color w:val="auto"/>
                <w:szCs w:val="24"/>
              </w:rPr>
            </w:pPr>
            <w:r>
              <w:rPr>
                <w:rFonts w:hint="eastAsia" w:asciiTheme="minorEastAsia" w:hAnsiTheme="minorEastAsia"/>
                <w:color w:val="auto"/>
                <w:szCs w:val="24"/>
              </w:rPr>
              <w:t>绿化种植工程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6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w:t>
            </w:r>
          </w:p>
        </w:tc>
        <w:tc>
          <w:tcPr>
            <w:tcW w:w="4278" w:type="dxa"/>
            <w:vAlign w:val="center"/>
          </w:tcPr>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工程设备、材料费中采购渠道下浮(%)</w:t>
            </w:r>
          </w:p>
        </w:tc>
        <w:tc>
          <w:tcPr>
            <w:tcW w:w="1980"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0-3</w:t>
            </w:r>
          </w:p>
        </w:tc>
        <w:tc>
          <w:tcPr>
            <w:tcW w:w="193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3-6</w:t>
            </w:r>
          </w:p>
        </w:tc>
        <w:tc>
          <w:tcPr>
            <w:tcW w:w="196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1-4</w:t>
            </w:r>
          </w:p>
        </w:tc>
        <w:tc>
          <w:tcPr>
            <w:tcW w:w="1938"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2-5</w:t>
            </w:r>
          </w:p>
        </w:tc>
        <w:tc>
          <w:tcPr>
            <w:tcW w:w="193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2</w:t>
            </w:r>
          </w:p>
        </w:tc>
        <w:tc>
          <w:tcPr>
            <w:tcW w:w="4278" w:type="dxa"/>
            <w:vAlign w:val="center"/>
          </w:tcPr>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管理费下浮(%)</w:t>
            </w:r>
          </w:p>
        </w:tc>
        <w:tc>
          <w:tcPr>
            <w:tcW w:w="1980"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3-5</w:t>
            </w:r>
          </w:p>
        </w:tc>
        <w:tc>
          <w:tcPr>
            <w:tcW w:w="193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4-8</w:t>
            </w:r>
          </w:p>
        </w:tc>
        <w:tc>
          <w:tcPr>
            <w:tcW w:w="196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3-6</w:t>
            </w:r>
          </w:p>
        </w:tc>
        <w:tc>
          <w:tcPr>
            <w:tcW w:w="1938"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3-7</w:t>
            </w:r>
          </w:p>
        </w:tc>
        <w:tc>
          <w:tcPr>
            <w:tcW w:w="193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6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3</w:t>
            </w:r>
          </w:p>
        </w:tc>
        <w:tc>
          <w:tcPr>
            <w:tcW w:w="4278" w:type="dxa"/>
            <w:vAlign w:val="center"/>
          </w:tcPr>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扣除利润（%）</w:t>
            </w:r>
          </w:p>
        </w:tc>
        <w:tc>
          <w:tcPr>
            <w:tcW w:w="1980"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100</w:t>
            </w:r>
          </w:p>
        </w:tc>
        <w:tc>
          <w:tcPr>
            <w:tcW w:w="193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100</w:t>
            </w:r>
          </w:p>
        </w:tc>
        <w:tc>
          <w:tcPr>
            <w:tcW w:w="196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100</w:t>
            </w:r>
          </w:p>
        </w:tc>
        <w:tc>
          <w:tcPr>
            <w:tcW w:w="1938"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100</w:t>
            </w:r>
          </w:p>
        </w:tc>
        <w:tc>
          <w:tcPr>
            <w:tcW w:w="1932"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6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4</w:t>
            </w:r>
          </w:p>
        </w:tc>
        <w:tc>
          <w:tcPr>
            <w:tcW w:w="4278" w:type="dxa"/>
            <w:vAlign w:val="center"/>
          </w:tcPr>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税金(增值税)减少比例(%)</w:t>
            </w:r>
          </w:p>
        </w:tc>
        <w:tc>
          <w:tcPr>
            <w:tcW w:w="9747" w:type="dxa"/>
            <w:gridSpan w:val="5"/>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（1+2+3）×[增值税/</w:t>
            </w:r>
            <w:r>
              <w:rPr>
                <w:rFonts w:asciiTheme="minorEastAsia" w:hAnsiTheme="minorEastAsia"/>
                <w:color w:val="auto"/>
                <w:szCs w:val="24"/>
              </w:rPr>
              <w:t>(1+</w:t>
            </w:r>
            <w:r>
              <w:rPr>
                <w:rFonts w:hint="eastAsia" w:asciiTheme="minorEastAsia" w:hAnsiTheme="minorEastAsia"/>
                <w:color w:val="auto"/>
                <w:szCs w:val="24"/>
              </w:rPr>
              <w:t>增值税)</w:t>
            </w:r>
            <w:r>
              <w:rPr>
                <w:rFonts w:asciiTheme="minorEastAsia" w:hAnsiTheme="minorEastAsia"/>
                <w:color w:val="auto"/>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65" w:type="dxa"/>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5</w:t>
            </w:r>
          </w:p>
        </w:tc>
        <w:tc>
          <w:tcPr>
            <w:tcW w:w="4278" w:type="dxa"/>
            <w:vAlign w:val="center"/>
          </w:tcPr>
          <w:p>
            <w:pPr>
              <w:spacing w:line="540" w:lineRule="exact"/>
              <w:ind w:firstLine="480"/>
              <w:jc w:val="left"/>
              <w:rPr>
                <w:rFonts w:asciiTheme="minorEastAsia" w:hAnsiTheme="minorEastAsia"/>
                <w:color w:val="auto"/>
                <w:szCs w:val="24"/>
              </w:rPr>
            </w:pPr>
            <w:r>
              <w:rPr>
                <w:rFonts w:hint="eastAsia" w:asciiTheme="minorEastAsia" w:hAnsiTheme="minorEastAsia"/>
                <w:color w:val="auto"/>
                <w:szCs w:val="24"/>
              </w:rPr>
              <w:t>工程成本</w:t>
            </w:r>
          </w:p>
        </w:tc>
        <w:tc>
          <w:tcPr>
            <w:tcW w:w="9747" w:type="dxa"/>
            <w:gridSpan w:val="5"/>
            <w:vAlign w:val="center"/>
          </w:tcPr>
          <w:p>
            <w:pPr>
              <w:spacing w:line="540" w:lineRule="exact"/>
              <w:ind w:firstLine="480"/>
              <w:jc w:val="center"/>
              <w:rPr>
                <w:rFonts w:asciiTheme="minorEastAsia" w:hAnsiTheme="minorEastAsia"/>
                <w:color w:val="auto"/>
                <w:szCs w:val="24"/>
              </w:rPr>
            </w:pPr>
            <w:r>
              <w:rPr>
                <w:rFonts w:hint="eastAsia" w:asciiTheme="minorEastAsia" w:hAnsiTheme="minorEastAsia"/>
                <w:color w:val="auto"/>
                <w:szCs w:val="24"/>
              </w:rPr>
              <w:t>招标控制价-（1+2+3+4）</w:t>
            </w:r>
          </w:p>
        </w:tc>
      </w:tr>
    </w:tbl>
    <w:p>
      <w:pPr>
        <w:spacing w:line="540" w:lineRule="exact"/>
        <w:ind w:firstLine="480"/>
        <w:rPr>
          <w:rFonts w:asciiTheme="minorEastAsia" w:hAnsiTheme="minorEastAsia"/>
          <w:color w:val="auto"/>
          <w:szCs w:val="24"/>
        </w:rPr>
      </w:pPr>
      <w:r>
        <w:rPr>
          <w:rFonts w:hint="eastAsia" w:asciiTheme="minorEastAsia" w:hAnsiTheme="minorEastAsia"/>
          <w:color w:val="auto"/>
          <w:szCs w:val="24"/>
        </w:rPr>
        <w:t>备注：1.招标人确定工程成本时应根据不同的建筑类型、结构形式等情形进行计算，也可参考上述“工程成本参考计算表”计算。</w:t>
      </w:r>
    </w:p>
    <w:p>
      <w:pPr>
        <w:spacing w:line="540" w:lineRule="exact"/>
        <w:ind w:firstLine="480"/>
        <w:rPr>
          <w:rFonts w:asciiTheme="minorEastAsia" w:hAnsiTheme="minorEastAsia"/>
          <w:color w:val="auto"/>
          <w:szCs w:val="24"/>
        </w:rPr>
      </w:pPr>
      <w:r>
        <w:rPr>
          <w:rFonts w:hint="eastAsia" w:asciiTheme="minorEastAsia" w:hAnsiTheme="minorEastAsia"/>
          <w:color w:val="auto"/>
          <w:szCs w:val="24"/>
        </w:rPr>
        <w:t>2.管理费下浮是指企业通过提高管理水平而减少的投入费用。</w:t>
      </w:r>
    </w:p>
    <w:p>
      <w:pPr>
        <w:spacing w:line="540" w:lineRule="exact"/>
        <w:ind w:firstLine="0" w:firstLineChars="0"/>
        <w:rPr>
          <w:color w:val="auto"/>
        </w:rPr>
      </w:pPr>
      <w:r>
        <w:rPr>
          <w:rFonts w:hint="eastAsia" w:asciiTheme="minorEastAsia" w:hAnsiTheme="minorEastAsia"/>
          <w:color w:val="auto"/>
          <w:szCs w:val="24"/>
        </w:rPr>
        <w:t xml:space="preserve">    3.工程成本计算时各项费用均以招标控制价对应费用为准。</w:t>
      </w:r>
    </w:p>
    <w:p>
      <w:pPr>
        <w:ind w:firstLine="480"/>
      </w:pPr>
      <w:bookmarkStart w:id="8" w:name="_GoBack"/>
      <w:bookmarkEnd w:id="8"/>
    </w:p>
    <w:sectPr>
      <w:headerReference r:id="rId7" w:type="default"/>
      <w:footerReference r:id="rId8" w:type="default"/>
      <w:pgSz w:w="16838" w:h="11906" w:orient="landscape"/>
      <w:pgMar w:top="1800" w:right="1440" w:bottom="1800"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黑体简体">
    <w:altName w:val="方正黑体_GBK"/>
    <w:panose1 w:val="00000000000000000000"/>
    <w:charset w:val="86"/>
    <w:family w:val="roman"/>
    <w:pitch w:val="default"/>
    <w:sig w:usb0="00000000" w:usb1="00000000" w:usb2="00000000" w:usb3="00000000" w:csb0="00000000" w:csb1="00000000"/>
  </w:font>
  <w:font w:name="方正楷体简体">
    <w:altName w:val="方正楷体_GBK"/>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807000"/>
      <w:docPartObj>
        <w:docPartGallery w:val="autotext"/>
      </w:docPartObj>
    </w:sdtPr>
    <w:sdtContent>
      <w:p>
        <w:pPr>
          <w:pStyle w:val="18"/>
          <w:ind w:firstLine="360"/>
          <w:jc w:val="center"/>
        </w:pPr>
        <w:r>
          <w:rPr>
            <w:sz w:val="21"/>
          </w:rPr>
          <w:fldChar w:fldCharType="begin"/>
        </w:r>
        <w:r>
          <w:rPr>
            <w:sz w:val="21"/>
          </w:rPr>
          <w:instrText xml:space="preserve">PAGE   \* MERGEFORMAT</w:instrText>
        </w:r>
        <w:r>
          <w:rPr>
            <w:sz w:val="21"/>
          </w:rPr>
          <w:fldChar w:fldCharType="separate"/>
        </w:r>
        <w:r>
          <w:rPr>
            <w:sz w:val="21"/>
            <w:lang w:val="zh-CN"/>
          </w:rPr>
          <w:t>8</w:t>
        </w:r>
        <w:r>
          <w:rPr>
            <w:sz w:val="21"/>
          </w:rPr>
          <w:fldChar w:fldCharType="end"/>
        </w:r>
      </w:p>
    </w:sdtContent>
  </w:sdt>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807000"/>
      <w:docPartObj>
        <w:docPartGallery w:val="autotext"/>
      </w:docPartObj>
    </w:sdtPr>
    <w:sdtContent>
      <w:p>
        <w:pPr>
          <w:pStyle w:val="18"/>
          <w:ind w:firstLine="360"/>
          <w:jc w:val="center"/>
        </w:pPr>
        <w:r>
          <w:rPr>
            <w:sz w:val="21"/>
          </w:rPr>
          <w:fldChar w:fldCharType="begin"/>
        </w:r>
        <w:r>
          <w:rPr>
            <w:sz w:val="21"/>
          </w:rPr>
          <w:instrText xml:space="preserve">PAGE   \* MERGEFORMAT</w:instrText>
        </w:r>
        <w:r>
          <w:rPr>
            <w:sz w:val="21"/>
          </w:rPr>
          <w:fldChar w:fldCharType="separate"/>
        </w:r>
        <w:r>
          <w:rPr>
            <w:sz w:val="21"/>
            <w:lang w:val="zh-CN"/>
          </w:rPr>
          <w:t>8</w:t>
        </w:r>
        <w:r>
          <w:rPr>
            <w:sz w:val="21"/>
          </w:rPr>
          <w:fldChar w:fldCharType="end"/>
        </w:r>
      </w:p>
    </w:sdtContent>
  </w:sdt>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5D"/>
    <w:rsid w:val="006E72FB"/>
    <w:rsid w:val="007207CD"/>
    <w:rsid w:val="00BD485D"/>
    <w:rsid w:val="26FFC404"/>
    <w:rsid w:val="35FF05CC"/>
    <w:rsid w:val="399EC67F"/>
    <w:rsid w:val="3E7FE15D"/>
    <w:rsid w:val="3FFC7A33"/>
    <w:rsid w:val="52F20ABD"/>
    <w:rsid w:val="5BE7BE77"/>
    <w:rsid w:val="5EDFB8E1"/>
    <w:rsid w:val="6D89907F"/>
    <w:rsid w:val="6EDDB716"/>
    <w:rsid w:val="6F267EB1"/>
    <w:rsid w:val="6FF6FFAD"/>
    <w:rsid w:val="77E453CD"/>
    <w:rsid w:val="7FEB692B"/>
    <w:rsid w:val="9AFB4361"/>
    <w:rsid w:val="ACEF4771"/>
    <w:rsid w:val="AFEFEA86"/>
    <w:rsid w:val="D71E28AB"/>
    <w:rsid w:val="DBFF9E2D"/>
    <w:rsid w:val="DFFFD49D"/>
    <w:rsid w:val="EA3F9BE9"/>
    <w:rsid w:val="ED2FE6C3"/>
    <w:rsid w:val="F2F68DD6"/>
    <w:rsid w:val="F3DF4CBC"/>
    <w:rsid w:val="F5DF0B8D"/>
    <w:rsid w:val="F7FB8A51"/>
    <w:rsid w:val="F8F54983"/>
    <w:rsid w:val="FFD9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36"/>
    <w:qFormat/>
    <w:uiPriority w:val="9"/>
    <w:pPr>
      <w:keepNext/>
      <w:keepLines/>
      <w:spacing w:before="340" w:after="330" w:line="578" w:lineRule="auto"/>
      <w:ind w:firstLine="0" w:firstLineChars="0"/>
      <w:jc w:val="center"/>
      <w:outlineLvl w:val="0"/>
    </w:pPr>
    <w:rPr>
      <w:rFonts w:eastAsia="方正小标宋_GBK"/>
      <w:bCs/>
      <w:kern w:val="44"/>
      <w:sz w:val="36"/>
      <w:szCs w:val="44"/>
    </w:rPr>
  </w:style>
  <w:style w:type="paragraph" w:styleId="3">
    <w:name w:val="heading 2"/>
    <w:basedOn w:val="1"/>
    <w:next w:val="1"/>
    <w:link w:val="37"/>
    <w:unhideWhenUsed/>
    <w:qFormat/>
    <w:uiPriority w:val="9"/>
    <w:pPr>
      <w:keepNext/>
      <w:keepLines/>
      <w:spacing w:before="260" w:after="260" w:line="415" w:lineRule="auto"/>
      <w:ind w:firstLine="0" w:firstLineChars="0"/>
      <w:jc w:val="center"/>
      <w:outlineLvl w:val="1"/>
    </w:pPr>
    <w:rPr>
      <w:rFonts w:eastAsia="方正小标宋_GBK" w:asciiTheme="majorHAnsi" w:hAnsiTheme="majorHAnsi" w:cstheme="majorBidi"/>
      <w:bCs/>
      <w:sz w:val="36"/>
      <w:szCs w:val="32"/>
    </w:rPr>
  </w:style>
  <w:style w:type="paragraph" w:styleId="4">
    <w:name w:val="heading 3"/>
    <w:basedOn w:val="1"/>
    <w:next w:val="1"/>
    <w:link w:val="38"/>
    <w:unhideWhenUsed/>
    <w:qFormat/>
    <w:uiPriority w:val="9"/>
    <w:pPr>
      <w:keepNext/>
      <w:keepLines/>
      <w:spacing w:before="260" w:after="260" w:line="415" w:lineRule="auto"/>
      <w:ind w:firstLine="0" w:firstLineChars="0"/>
      <w:jc w:val="center"/>
      <w:outlineLvl w:val="2"/>
    </w:pPr>
    <w:rPr>
      <w:rFonts w:eastAsia="黑体"/>
      <w:b/>
      <w:bCs/>
      <w:szCs w:val="32"/>
    </w:rPr>
  </w:style>
  <w:style w:type="paragraph" w:styleId="5">
    <w:name w:val="heading 4"/>
    <w:basedOn w:val="1"/>
    <w:next w:val="1"/>
    <w:link w:val="39"/>
    <w:unhideWhenUsed/>
    <w:qFormat/>
    <w:uiPriority w:val="9"/>
    <w:pPr>
      <w:keepNext/>
      <w:keepLines/>
      <w:spacing w:before="280" w:after="290" w:line="377" w:lineRule="auto"/>
      <w:outlineLvl w:val="3"/>
    </w:pPr>
    <w:rPr>
      <w:rFonts w:asciiTheme="majorHAnsi" w:hAnsiTheme="majorHAnsi" w:cstheme="majorBidi"/>
      <w:b/>
      <w:bCs/>
      <w:szCs w:val="28"/>
    </w:rPr>
  </w:style>
  <w:style w:type="paragraph" w:styleId="6">
    <w:name w:val="heading 5"/>
    <w:basedOn w:val="1"/>
    <w:next w:val="1"/>
    <w:link w:val="40"/>
    <w:unhideWhenUsed/>
    <w:qFormat/>
    <w:uiPriority w:val="9"/>
    <w:pPr>
      <w:keepNext/>
      <w:keepLines/>
      <w:spacing w:before="280" w:after="290" w:line="376" w:lineRule="auto"/>
      <w:outlineLvl w:val="4"/>
    </w:pPr>
    <w:rPr>
      <w:b/>
      <w:bCs/>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firstLine="0" w:firstLineChars="0"/>
    </w:pPr>
    <w:rPr>
      <w:sz w:val="21"/>
    </w:rPr>
  </w:style>
  <w:style w:type="paragraph" w:styleId="8">
    <w:name w:val="Document Map"/>
    <w:basedOn w:val="1"/>
    <w:link w:val="54"/>
    <w:unhideWhenUsed/>
    <w:qFormat/>
    <w:uiPriority w:val="0"/>
    <w:pPr>
      <w:shd w:val="clear" w:color="auto" w:fill="000080"/>
      <w:spacing w:line="240" w:lineRule="auto"/>
      <w:ind w:firstLine="0" w:firstLineChars="0"/>
    </w:pPr>
    <w:rPr>
      <w:rFonts w:ascii="Calibri" w:hAnsi="Calibri" w:eastAsia="宋体" w:cs="Times New Roman"/>
      <w:sz w:val="21"/>
    </w:rPr>
  </w:style>
  <w:style w:type="paragraph" w:styleId="9">
    <w:name w:val="annotation text"/>
    <w:basedOn w:val="1"/>
    <w:link w:val="41"/>
    <w:unhideWhenUsed/>
    <w:qFormat/>
    <w:uiPriority w:val="0"/>
    <w:pPr>
      <w:ind w:firstLine="0" w:firstLineChars="0"/>
      <w:jc w:val="left"/>
    </w:pPr>
    <w:rPr>
      <w:rFonts w:ascii="Times New Roman" w:hAnsi="Times New Roman" w:eastAsia="宋体" w:cs="Times New Roman"/>
      <w:sz w:val="21"/>
      <w:szCs w:val="24"/>
    </w:rPr>
  </w:style>
  <w:style w:type="paragraph" w:styleId="10">
    <w:name w:val="Body Text"/>
    <w:basedOn w:val="1"/>
    <w:link w:val="50"/>
    <w:semiHidden/>
    <w:unhideWhenUsed/>
    <w:qFormat/>
    <w:uiPriority w:val="99"/>
    <w:pPr>
      <w:spacing w:after="120"/>
    </w:pPr>
  </w:style>
  <w:style w:type="paragraph" w:styleId="11">
    <w:name w:val="Body Text Indent"/>
    <w:basedOn w:val="1"/>
    <w:link w:val="49"/>
    <w:qFormat/>
    <w:uiPriority w:val="0"/>
    <w:pPr>
      <w:ind w:firstLine="560"/>
    </w:pPr>
    <w:rPr>
      <w:rFonts w:ascii="Times New Roman" w:hAnsi="Times New Roman" w:eastAsia="宋体" w:cs="Times New Roman"/>
      <w:sz w:val="28"/>
      <w:szCs w:val="24"/>
    </w:rPr>
  </w:style>
  <w:style w:type="paragraph" w:styleId="12">
    <w:name w:val="toc 5"/>
    <w:basedOn w:val="1"/>
    <w:next w:val="1"/>
    <w:unhideWhenUsed/>
    <w:qFormat/>
    <w:uiPriority w:val="39"/>
    <w:pPr>
      <w:ind w:left="1680" w:leftChars="800" w:firstLine="0" w:firstLineChars="0"/>
    </w:pPr>
    <w:rPr>
      <w:sz w:val="21"/>
    </w:r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firstLine="0" w:firstLineChars="0"/>
    </w:pPr>
    <w:rPr>
      <w:sz w:val="21"/>
    </w:rPr>
  </w:style>
  <w:style w:type="paragraph" w:styleId="15">
    <w:name w:val="Date"/>
    <w:basedOn w:val="1"/>
    <w:next w:val="1"/>
    <w:link w:val="47"/>
    <w:semiHidden/>
    <w:unhideWhenUsed/>
    <w:qFormat/>
    <w:uiPriority w:val="99"/>
    <w:pPr>
      <w:ind w:left="100" w:leftChars="2500"/>
    </w:pPr>
  </w:style>
  <w:style w:type="paragraph" w:styleId="16">
    <w:name w:val="Body Text Indent 2"/>
    <w:basedOn w:val="1"/>
    <w:link w:val="48"/>
    <w:qFormat/>
    <w:uiPriority w:val="0"/>
    <w:pPr>
      <w:widowControl/>
      <w:spacing w:line="480" w:lineRule="auto"/>
      <w:ind w:firstLine="560" w:firstLineChars="0"/>
      <w:jc w:val="left"/>
    </w:pPr>
    <w:rPr>
      <w:rFonts w:ascii="Times New Roman" w:hAnsi="Times New Roman" w:eastAsia="宋体" w:cs="Times New Roman"/>
      <w:kern w:val="0"/>
      <w:sz w:val="28"/>
      <w:szCs w:val="24"/>
    </w:rPr>
  </w:style>
  <w:style w:type="paragraph" w:styleId="17">
    <w:name w:val="Balloon Text"/>
    <w:basedOn w:val="1"/>
    <w:link w:val="52"/>
    <w:semiHidden/>
    <w:qFormat/>
    <w:uiPriority w:val="99"/>
    <w:pPr>
      <w:spacing w:line="240" w:lineRule="auto"/>
      <w:ind w:firstLine="0" w:firstLineChars="0"/>
    </w:pPr>
    <w:rPr>
      <w:sz w:val="18"/>
      <w:szCs w:val="18"/>
    </w:rPr>
  </w:style>
  <w:style w:type="paragraph" w:styleId="18">
    <w:name w:val="footer"/>
    <w:basedOn w:val="1"/>
    <w:link w:val="35"/>
    <w:unhideWhenUsed/>
    <w:qFormat/>
    <w:uiPriority w:val="99"/>
    <w:pPr>
      <w:tabs>
        <w:tab w:val="center" w:pos="4153"/>
        <w:tab w:val="right" w:pos="8306"/>
      </w:tabs>
      <w:snapToGrid w:val="0"/>
      <w:jc w:val="left"/>
    </w:pPr>
    <w:rPr>
      <w:sz w:val="18"/>
      <w:szCs w:val="18"/>
    </w:rPr>
  </w:style>
  <w:style w:type="paragraph" w:styleId="1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ind w:left="1260" w:leftChars="600" w:firstLine="0" w:firstLineChars="0"/>
    </w:pPr>
    <w:rPr>
      <w:sz w:val="21"/>
    </w:rPr>
  </w:style>
  <w:style w:type="paragraph" w:styleId="22">
    <w:name w:val="toc 6"/>
    <w:basedOn w:val="1"/>
    <w:next w:val="1"/>
    <w:unhideWhenUsed/>
    <w:qFormat/>
    <w:uiPriority w:val="39"/>
    <w:pPr>
      <w:ind w:left="2100" w:leftChars="1000" w:firstLine="0" w:firstLineChars="0"/>
    </w:pPr>
    <w:rPr>
      <w:sz w:val="21"/>
    </w:r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ind w:left="3360" w:leftChars="1600" w:firstLine="0" w:firstLineChars="0"/>
    </w:pPr>
    <w:rPr>
      <w:sz w:val="21"/>
    </w:rPr>
  </w:style>
  <w:style w:type="paragraph" w:styleId="25">
    <w:name w:val="HTML Preformatted"/>
    <w:basedOn w:val="1"/>
    <w:link w:val="53"/>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cs="Times New Roman"/>
      <w:kern w:val="0"/>
      <w:szCs w:val="24"/>
    </w:rPr>
  </w:style>
  <w:style w:type="paragraph" w:styleId="26">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Cs w:val="24"/>
    </w:rPr>
  </w:style>
  <w:style w:type="table" w:styleId="28">
    <w:name w:val="Table Grid"/>
    <w:basedOn w:val="27"/>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Emphasis"/>
    <w:basedOn w:val="29"/>
    <w:qFormat/>
    <w:uiPriority w:val="20"/>
    <w:rPr>
      <w:i/>
      <w:iCs/>
    </w:rPr>
  </w:style>
  <w:style w:type="character" w:styleId="33">
    <w:name w:val="Hyperlink"/>
    <w:basedOn w:val="29"/>
    <w:unhideWhenUsed/>
    <w:qFormat/>
    <w:uiPriority w:val="99"/>
    <w:rPr>
      <w:color w:val="0563C1" w:themeColor="hyperlink"/>
      <w:u w:val="single"/>
      <w14:textFill>
        <w14:solidFill>
          <w14:schemeClr w14:val="hlink"/>
        </w14:solidFill>
      </w14:textFill>
    </w:rPr>
  </w:style>
  <w:style w:type="character" w:customStyle="1" w:styleId="34">
    <w:name w:val="页眉 字符"/>
    <w:basedOn w:val="29"/>
    <w:link w:val="19"/>
    <w:qFormat/>
    <w:uiPriority w:val="99"/>
    <w:rPr>
      <w:sz w:val="18"/>
      <w:szCs w:val="18"/>
    </w:rPr>
  </w:style>
  <w:style w:type="character" w:customStyle="1" w:styleId="35">
    <w:name w:val="页脚 字符"/>
    <w:basedOn w:val="29"/>
    <w:link w:val="18"/>
    <w:qFormat/>
    <w:uiPriority w:val="99"/>
    <w:rPr>
      <w:sz w:val="18"/>
      <w:szCs w:val="18"/>
    </w:rPr>
  </w:style>
  <w:style w:type="character" w:customStyle="1" w:styleId="36">
    <w:name w:val="标题 1 字符"/>
    <w:basedOn w:val="29"/>
    <w:link w:val="2"/>
    <w:qFormat/>
    <w:uiPriority w:val="9"/>
    <w:rPr>
      <w:rFonts w:eastAsia="方正小标宋_GBK"/>
      <w:bCs/>
      <w:kern w:val="44"/>
      <w:sz w:val="36"/>
      <w:szCs w:val="44"/>
    </w:rPr>
  </w:style>
  <w:style w:type="character" w:customStyle="1" w:styleId="37">
    <w:name w:val="标题 2 字符"/>
    <w:basedOn w:val="29"/>
    <w:link w:val="3"/>
    <w:qFormat/>
    <w:uiPriority w:val="9"/>
    <w:rPr>
      <w:rFonts w:eastAsia="方正小标宋_GBK" w:asciiTheme="majorHAnsi" w:hAnsiTheme="majorHAnsi" w:cstheme="majorBidi"/>
      <w:bCs/>
      <w:sz w:val="36"/>
      <w:szCs w:val="32"/>
    </w:rPr>
  </w:style>
  <w:style w:type="character" w:customStyle="1" w:styleId="38">
    <w:name w:val="标题 3 字符"/>
    <w:basedOn w:val="29"/>
    <w:link w:val="4"/>
    <w:qFormat/>
    <w:uiPriority w:val="9"/>
    <w:rPr>
      <w:rFonts w:eastAsia="黑体"/>
      <w:b/>
      <w:bCs/>
      <w:sz w:val="24"/>
      <w:szCs w:val="32"/>
    </w:rPr>
  </w:style>
  <w:style w:type="character" w:customStyle="1" w:styleId="39">
    <w:name w:val="标题 4 字符"/>
    <w:basedOn w:val="29"/>
    <w:link w:val="5"/>
    <w:qFormat/>
    <w:uiPriority w:val="9"/>
    <w:rPr>
      <w:rFonts w:asciiTheme="majorHAnsi" w:hAnsiTheme="majorHAnsi" w:cstheme="majorBidi"/>
      <w:b/>
      <w:bCs/>
      <w:sz w:val="24"/>
      <w:szCs w:val="28"/>
    </w:rPr>
  </w:style>
  <w:style w:type="character" w:customStyle="1" w:styleId="40">
    <w:name w:val="标题 5 字符"/>
    <w:basedOn w:val="29"/>
    <w:link w:val="6"/>
    <w:qFormat/>
    <w:uiPriority w:val="9"/>
    <w:rPr>
      <w:b/>
      <w:bCs/>
      <w:sz w:val="24"/>
      <w:szCs w:val="28"/>
    </w:rPr>
  </w:style>
  <w:style w:type="character" w:customStyle="1" w:styleId="41">
    <w:name w:val="批注文字 字符"/>
    <w:basedOn w:val="29"/>
    <w:link w:val="9"/>
    <w:qFormat/>
    <w:uiPriority w:val="0"/>
    <w:rPr>
      <w:rFonts w:ascii="Times New Roman" w:hAnsi="Times New Roman" w:eastAsia="宋体" w:cs="Times New Roman"/>
      <w:szCs w:val="24"/>
    </w:rPr>
  </w:style>
  <w:style w:type="paragraph" w:styleId="42">
    <w:name w:val="List Paragraph"/>
    <w:basedOn w:val="1"/>
    <w:qFormat/>
    <w:uiPriority w:val="34"/>
    <w:pPr>
      <w:ind w:firstLine="420"/>
    </w:pPr>
  </w:style>
  <w:style w:type="paragraph" w:customStyle="1" w:styleId="4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44">
    <w:name w:val="vsbcontent_start"/>
    <w:basedOn w:val="1"/>
    <w:qFormat/>
    <w:uiPriority w:val="0"/>
    <w:pPr>
      <w:widowControl/>
      <w:ind w:firstLine="0" w:firstLineChars="0"/>
      <w:jc w:val="left"/>
    </w:pPr>
    <w:rPr>
      <w:rFonts w:ascii="宋体" w:hAnsi="宋体" w:eastAsia="宋体" w:cs="宋体"/>
      <w:kern w:val="0"/>
      <w:szCs w:val="24"/>
    </w:rPr>
  </w:style>
  <w:style w:type="paragraph" w:customStyle="1" w:styleId="45">
    <w:name w:val="普通(网站)1"/>
    <w:basedOn w:val="1"/>
    <w:qFormat/>
    <w:uiPriority w:val="0"/>
    <w:pPr>
      <w:widowControl/>
      <w:spacing w:before="100" w:beforeAutospacing="1" w:after="100" w:afterAutospacing="1"/>
      <w:ind w:firstLine="0" w:firstLineChars="0"/>
      <w:jc w:val="left"/>
    </w:pPr>
    <w:rPr>
      <w:rFonts w:ascii="宋体" w:hAnsi="宋体" w:eastAsia="宋体" w:cs="宋体"/>
      <w:kern w:val="0"/>
      <w:szCs w:val="24"/>
    </w:rPr>
  </w:style>
  <w:style w:type="character" w:customStyle="1" w:styleId="46">
    <w:name w:val="apple-converted-space"/>
    <w:basedOn w:val="29"/>
    <w:qFormat/>
    <w:uiPriority w:val="0"/>
  </w:style>
  <w:style w:type="character" w:customStyle="1" w:styleId="47">
    <w:name w:val="日期 字符"/>
    <w:basedOn w:val="29"/>
    <w:link w:val="15"/>
    <w:semiHidden/>
    <w:qFormat/>
    <w:uiPriority w:val="99"/>
    <w:rPr>
      <w:sz w:val="24"/>
    </w:rPr>
  </w:style>
  <w:style w:type="character" w:customStyle="1" w:styleId="48">
    <w:name w:val="正文文本缩进 2 字符"/>
    <w:basedOn w:val="29"/>
    <w:link w:val="16"/>
    <w:qFormat/>
    <w:uiPriority w:val="0"/>
    <w:rPr>
      <w:rFonts w:ascii="Times New Roman" w:hAnsi="Times New Roman" w:eastAsia="宋体" w:cs="Times New Roman"/>
      <w:kern w:val="0"/>
      <w:sz w:val="28"/>
      <w:szCs w:val="24"/>
    </w:rPr>
  </w:style>
  <w:style w:type="character" w:customStyle="1" w:styleId="49">
    <w:name w:val="正文文本缩进 字符"/>
    <w:basedOn w:val="29"/>
    <w:link w:val="11"/>
    <w:qFormat/>
    <w:uiPriority w:val="0"/>
    <w:rPr>
      <w:rFonts w:ascii="Times New Roman" w:hAnsi="Times New Roman" w:eastAsia="宋体" w:cs="Times New Roman"/>
      <w:sz w:val="28"/>
      <w:szCs w:val="24"/>
    </w:rPr>
  </w:style>
  <w:style w:type="character" w:customStyle="1" w:styleId="50">
    <w:name w:val="正文文本 字符"/>
    <w:basedOn w:val="29"/>
    <w:link w:val="10"/>
    <w:semiHidden/>
    <w:qFormat/>
    <w:uiPriority w:val="99"/>
    <w:rPr>
      <w:sz w:val="24"/>
    </w:rPr>
  </w:style>
  <w:style w:type="character" w:customStyle="1" w:styleId="51">
    <w:name w:val="Unresolved Mention"/>
    <w:basedOn w:val="29"/>
    <w:semiHidden/>
    <w:unhideWhenUsed/>
    <w:qFormat/>
    <w:uiPriority w:val="99"/>
    <w:rPr>
      <w:color w:val="605E5C"/>
      <w:shd w:val="clear" w:color="auto" w:fill="E1DFDD"/>
    </w:rPr>
  </w:style>
  <w:style w:type="character" w:customStyle="1" w:styleId="52">
    <w:name w:val="批注框文本 字符"/>
    <w:link w:val="17"/>
    <w:semiHidden/>
    <w:qFormat/>
    <w:locked/>
    <w:uiPriority w:val="99"/>
    <w:rPr>
      <w:sz w:val="18"/>
      <w:szCs w:val="18"/>
    </w:rPr>
  </w:style>
  <w:style w:type="character" w:customStyle="1" w:styleId="53">
    <w:name w:val="HTML 预设格式 字符"/>
    <w:basedOn w:val="29"/>
    <w:link w:val="25"/>
    <w:qFormat/>
    <w:uiPriority w:val="0"/>
    <w:rPr>
      <w:rFonts w:ascii="宋体" w:hAnsi="宋体" w:eastAsia="宋体" w:cs="Times New Roman"/>
      <w:kern w:val="0"/>
      <w:sz w:val="24"/>
      <w:szCs w:val="24"/>
    </w:rPr>
  </w:style>
  <w:style w:type="character" w:customStyle="1" w:styleId="54">
    <w:name w:val="文档结构图 字符"/>
    <w:basedOn w:val="29"/>
    <w:link w:val="8"/>
    <w:qFormat/>
    <w:uiPriority w:val="0"/>
    <w:rPr>
      <w:rFonts w:ascii="Calibri" w:hAnsi="Calibri" w:eastAsia="宋体" w:cs="Times New Roman"/>
      <w:shd w:val="clear" w:color="auto" w:fill="000080"/>
    </w:rPr>
  </w:style>
  <w:style w:type="character" w:customStyle="1" w:styleId="55">
    <w:name w:val="批注框文本 字符1"/>
    <w:basedOn w:val="29"/>
    <w:semiHidden/>
    <w:qFormat/>
    <w:uiPriority w:val="99"/>
    <w:rPr>
      <w:sz w:val="18"/>
      <w:szCs w:val="18"/>
    </w:rPr>
  </w:style>
  <w:style w:type="paragraph" w:customStyle="1" w:styleId="56">
    <w:name w:val="_Style 3"/>
    <w:basedOn w:val="8"/>
    <w:qFormat/>
    <w:uiPriority w:val="0"/>
    <w:pPr>
      <w:adjustRightInd w:val="0"/>
      <w:snapToGrid w:val="0"/>
      <w:spacing w:line="360" w:lineRule="auto"/>
    </w:pPr>
  </w:style>
  <w:style w:type="paragraph" w:customStyle="1" w:styleId="57">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8">
    <w:name w:val="Revision"/>
    <w:hidden/>
    <w:unhideWhenUsed/>
    <w:qFormat/>
    <w:uiPriority w:val="99"/>
    <w:rPr>
      <w:rFonts w:ascii="Calibri" w:hAnsi="Calibri" w:eastAsia="宋体" w:cs="Times New Roman"/>
      <w:kern w:val="2"/>
      <w:sz w:val="21"/>
      <w:szCs w:val="22"/>
      <w:lang w:val="en-US" w:eastAsia="zh-CN" w:bidi="ar-SA"/>
    </w:rPr>
  </w:style>
  <w:style w:type="table" w:customStyle="1" w:styleId="5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60">
    <w:name w:val="Table Paragraph"/>
    <w:basedOn w:val="1"/>
    <w:qFormat/>
    <w:uiPriority w:val="1"/>
    <w:pPr>
      <w:autoSpaceDE w:val="0"/>
      <w:autoSpaceDN w:val="0"/>
      <w:spacing w:line="240" w:lineRule="auto"/>
      <w:ind w:firstLine="0" w:firstLineChars="0"/>
      <w:jc w:val="left"/>
    </w:pPr>
    <w:rPr>
      <w:rFonts w:ascii="仿宋_GB2312" w:hAnsi="仿宋_GB2312" w:eastAsia="仿宋_GB2312" w:cs="仿宋_GB2312"/>
      <w:kern w:val="0"/>
      <w:sz w:val="22"/>
      <w:lang w:eastAsia="en-US"/>
    </w:rPr>
  </w:style>
  <w:style w:type="character" w:customStyle="1" w:styleId="61">
    <w:name w:val="正文文本缩进 2 Char"/>
    <w:link w:val="62"/>
    <w:qFormat/>
    <w:uiPriority w:val="0"/>
    <w:rPr>
      <w:rFonts w:ascii="仿宋_GB2312" w:hAnsi="宋体" w:eastAsia="仿宋_GB2312"/>
      <w:color w:val="FF0000"/>
      <w:sz w:val="32"/>
    </w:rPr>
  </w:style>
  <w:style w:type="paragraph" w:customStyle="1" w:styleId="62">
    <w:name w:val="正文文本缩进 21"/>
    <w:basedOn w:val="1"/>
    <w:link w:val="61"/>
    <w:qFormat/>
    <w:uiPriority w:val="0"/>
    <w:pPr>
      <w:ind w:firstLine="640"/>
    </w:pPr>
    <w:rPr>
      <w:rFonts w:ascii="仿宋_GB2312" w:hAnsi="宋体" w:eastAsia="仿宋_GB2312"/>
      <w:color w:val="FF0000"/>
      <w:sz w:val="32"/>
    </w:rPr>
  </w:style>
  <w:style w:type="paragraph" w:customStyle="1" w:styleId="63">
    <w:name w:val="普通(网站)2"/>
    <w:basedOn w:val="1"/>
    <w:qFormat/>
    <w:uiPriority w:val="0"/>
    <w:pPr>
      <w:widowControl/>
      <w:spacing w:before="100" w:beforeAutospacing="1" w:after="100" w:afterAutospacing="1" w:line="240" w:lineRule="auto"/>
      <w:ind w:firstLine="0" w:firstLineChars="0"/>
      <w:jc w:val="left"/>
    </w:pPr>
    <w:rPr>
      <w:rFonts w:ascii="宋体" w:hAnsi="宋体"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4348</Words>
  <Characters>24787</Characters>
  <Lines>206</Lines>
  <Paragraphs>58</Paragraphs>
  <TotalTime>0</TotalTime>
  <ScaleCrop>false</ScaleCrop>
  <LinksUpToDate>false</LinksUpToDate>
  <CharactersWithSpaces>29077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2023-04-05T16:50:00Z</dcterms:created>
  <dc:creator>叶睿晟</dc:creator>
  <cp:lastModifiedBy>greatwall</cp:lastModifiedBy>
  <dcterms:modified xsi:type="dcterms:W3CDTF">2023-06-13T15:06:45Z</dcterms:modified>
  <dc:title>海南省房屋建筑和市政工程工程量清单招标投标评标办法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