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0" w:firstLineChars="0"/>
        <w:jc w:val="left"/>
        <w:rPr>
          <w:rFonts w:hint="default" w:ascii="黑体" w:hAnsi="黑体" w:eastAsia="黑体" w:cs="宋体"/>
          <w:b w:val="0"/>
          <w:bCs w:val="0"/>
          <w:color w:val="auto"/>
          <w:kern w:val="0"/>
          <w:sz w:val="32"/>
          <w:szCs w:val="32"/>
          <w:lang w:val="en-US" w:eastAsia="zh-CN"/>
        </w:rPr>
      </w:pPr>
      <w:r>
        <w:rPr>
          <w:rFonts w:hint="eastAsia" w:ascii="黑体" w:hAnsi="黑体" w:eastAsia="黑体" w:cs="宋体"/>
          <w:b w:val="0"/>
          <w:bCs w:val="0"/>
          <w:color w:val="auto"/>
          <w:kern w:val="0"/>
          <w:sz w:val="32"/>
          <w:szCs w:val="32"/>
          <w:lang w:eastAsia="zh-CN"/>
        </w:rPr>
        <w:t>附件</w:t>
      </w:r>
      <w:r>
        <w:rPr>
          <w:rFonts w:hint="eastAsia" w:ascii="黑体" w:hAnsi="黑体" w:eastAsia="黑体" w:cs="宋体"/>
          <w:b w:val="0"/>
          <w:bCs w:val="0"/>
          <w:color w:val="auto"/>
          <w:kern w:val="0"/>
          <w:sz w:val="32"/>
          <w:szCs w:val="32"/>
          <w:lang w:val="en-US" w:eastAsia="zh-CN"/>
        </w:rPr>
        <w:t>2</w:t>
      </w:r>
    </w:p>
    <w:p>
      <w:pPr>
        <w:widowControl/>
        <w:spacing w:line="600" w:lineRule="atLeast"/>
        <w:ind w:firstLine="0" w:firstLineChars="0"/>
        <w:jc w:val="center"/>
        <w:rPr>
          <w:rFonts w:hint="eastAsia" w:ascii="黑体" w:hAnsi="黑体" w:eastAsia="黑体" w:cs="宋体"/>
          <w:b/>
          <w:bCs/>
          <w:color w:val="auto"/>
          <w:kern w:val="0"/>
          <w:sz w:val="36"/>
          <w:szCs w:val="36"/>
        </w:rPr>
      </w:pPr>
    </w:p>
    <w:p>
      <w:pPr>
        <w:keepNext w:val="0"/>
        <w:keepLines w:val="0"/>
        <w:pageBreakBefore w:val="0"/>
        <w:widowControl/>
        <w:kinsoku/>
        <w:wordWrap/>
        <w:overflowPunct/>
        <w:topLinePunct w:val="0"/>
        <w:autoSpaceDE/>
        <w:autoSpaceDN/>
        <w:bidi w:val="0"/>
        <w:adjustRightInd/>
        <w:snapToGrid/>
        <w:spacing w:line="600" w:lineRule="atLeast"/>
        <w:ind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关于进一步推进房屋建筑和市政工程招投标制度改革的若干措施（试行）</w:t>
      </w:r>
    </w:p>
    <w:p>
      <w:pPr>
        <w:widowControl/>
        <w:spacing w:line="240" w:lineRule="auto"/>
        <w:ind w:firstLine="0" w:firstLineChars="0"/>
        <w:jc w:val="center"/>
        <w:rPr>
          <w:rFonts w:hint="eastAsia" w:ascii="Calibri" w:hAnsi="Calibri" w:eastAsia="微软雅黑" w:cs="Calibri"/>
          <w:color w:val="auto"/>
          <w:kern w:val="0"/>
          <w:sz w:val="21"/>
          <w:szCs w:val="21"/>
        </w:rPr>
      </w:pPr>
      <w:r>
        <w:rPr>
          <w:rFonts w:ascii="Calibri" w:hAnsi="Calibri" w:eastAsia="微软雅黑" w:cs="Calibri"/>
          <w:color w:val="auto"/>
          <w:kern w:val="0"/>
          <w:sz w:val="21"/>
          <w:szCs w:val="21"/>
        </w:rPr>
        <w:t> </w:t>
      </w:r>
    </w:p>
    <w:p>
      <w:pPr>
        <w:widowControl/>
        <w:spacing w:line="240" w:lineRule="auto"/>
        <w:ind w:firstLine="0" w:firstLineChars="0"/>
        <w:jc w:val="center"/>
        <w:rPr>
          <w:rFonts w:ascii="Calibri" w:hAnsi="Calibri" w:eastAsia="微软雅黑" w:cs="Calibri"/>
          <w:color w:val="auto"/>
          <w:kern w:val="0"/>
          <w:sz w:val="21"/>
          <w:szCs w:val="21"/>
        </w:rPr>
      </w:pPr>
      <w:r>
        <w:rPr>
          <w:rFonts w:hint="eastAsia" w:ascii="黑体" w:hAnsi="黑体" w:eastAsia="黑体" w:cs="Calibri"/>
          <w:color w:val="auto"/>
          <w:kern w:val="0"/>
          <w:sz w:val="32"/>
          <w:szCs w:val="32"/>
        </w:rPr>
        <w:t>第一章  总   则</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第一条</w:t>
      </w:r>
      <w:r>
        <w:rPr>
          <w:rFonts w:hint="eastAsia" w:ascii="仿宋" w:hAnsi="仿宋" w:eastAsia="仿宋" w:cs="Calibri"/>
          <w:color w:val="auto"/>
          <w:kern w:val="0"/>
          <w:sz w:val="32"/>
          <w:szCs w:val="32"/>
        </w:rPr>
        <w:t> 为深化我省房屋建筑和市政工程招投标制度改革，创新适应海南自贸港建设的新型体制机制，构建“1+3”“机器管招投标”系统，试点推行“评定分离”，进一步优化招投标营商环境，推动建筑业高质量健康发展，助力海南自贸港建设，根据《中华人民共和国招标投标法》《中华人民共和国海南自由贸易港法》《电子招标投标办法》等法律、法规、规章，结合我省房屋建筑和市政工程项目招投标实际，制定《关于进一步推进房屋建筑和市政工程招投标制度改革的若干措施（试行）》（以下简称《若干措施》）。</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第二条</w:t>
      </w:r>
      <w:r>
        <w:rPr>
          <w:rFonts w:hint="eastAsia" w:ascii="仿宋" w:hAnsi="仿宋" w:eastAsia="仿宋" w:cs="Calibri"/>
          <w:color w:val="auto"/>
          <w:kern w:val="0"/>
          <w:sz w:val="32"/>
          <w:szCs w:val="32"/>
        </w:rPr>
        <w:t> 本《若干措施》适用于我省行政区域内依法必须招标的房屋建筑和市政工程的招投标活动（含使用中央资金和国有企事业单位自有资金建设的项目），按照“科学统筹、试点先行、分步实施、逐步完善”原则，选择施工阶段采用工程量清单招标的项目试点先行。</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第三条</w:t>
      </w:r>
      <w:r>
        <w:rPr>
          <w:rFonts w:hint="eastAsia" w:ascii="仿宋" w:hAnsi="仿宋" w:eastAsia="仿宋" w:cs="Calibri"/>
          <w:color w:val="auto"/>
          <w:kern w:val="0"/>
          <w:sz w:val="32"/>
          <w:szCs w:val="32"/>
        </w:rPr>
        <w:t> 招标人有权自行通过市场择优方式选择工程招标代理机构开展招投标活动，并对招标过程和结果的合法性负责。任何单位和个人不得以任何方式非法干预，也不得为招标人指定招标代理机构。</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招标人应当按照招标代理合同支付代理服务费，不得恶意压低招标代理服务费，降低服务质量，不得以招标项目未完成工程审计而拒付招标代理服务费。</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招标人的法定代表人是招标活动的第一责任人，依法承担廉政风险防范的主体责任。</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第四条</w:t>
      </w:r>
      <w:r>
        <w:rPr>
          <w:rFonts w:hint="eastAsia" w:ascii="仿宋" w:hAnsi="仿宋" w:eastAsia="仿宋" w:cs="Calibri"/>
          <w:color w:val="auto"/>
          <w:kern w:val="0"/>
          <w:sz w:val="32"/>
          <w:szCs w:val="32"/>
        </w:rPr>
        <w:t> 招标代理机构应当在招标人委托代理权限内，按照《招标投标法》《招标投标法实施条例》等法律、法规相关规定开展招投标活动，不得存在下列行为：</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（一）背离职业道德无原则附和招标人的违法违规要求和行为;</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（二）未根据招标项目的特点和实际需要编制招标文件，招标文件中含有倾向或者排斥潜在投标人的条款，对潜在投标人实行歧视待遇，或限制投标企业的所有制类型；</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（三）对仅需提供有关资质证明文件、证照、证件复印件的，要求必须提供原件；对按规定采用“多证合一”电子证照的，要求必须提供纸质证照；</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（四）与投标人串通投标或为投标人串通投标提供便利；</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（五）抽取与招标项目特点、技术复杂程度等不相符的专家。</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第五条</w:t>
      </w:r>
      <w:r>
        <w:rPr>
          <w:rFonts w:hint="eastAsia" w:ascii="仿宋" w:hAnsi="仿宋" w:eastAsia="仿宋" w:cs="Calibri"/>
          <w:color w:val="auto"/>
          <w:kern w:val="0"/>
          <w:sz w:val="32"/>
          <w:szCs w:val="32"/>
        </w:rPr>
        <w:t> 造价咨询企业应当根据造价咨询合同、设计文件及相关资料、工程计价有关规定和市场价格信息等编制招标工程量清单或招标控制价成果文件，并对编制的成果文件的合规性、合理性、完整性负责。</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招标人（招标代理机构或造价咨询企业）除提供招标工程量清单和按规定应当公布招标控制价应当公布内容外，应当加强做好招标控制价成果文件的保密工作。</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第六条</w:t>
      </w:r>
      <w:r>
        <w:rPr>
          <w:rFonts w:hint="eastAsia" w:ascii="仿宋" w:hAnsi="仿宋" w:eastAsia="仿宋" w:cs="Calibri"/>
          <w:color w:val="auto"/>
          <w:kern w:val="0"/>
          <w:sz w:val="32"/>
          <w:szCs w:val="32"/>
        </w:rPr>
        <w:t> 投标人应当增强契约精神和守约观念，诚实守信、恪守商业道德，加强企业自律，不得存在出借资质、参与串通投标、弄虚作假等违法违规行为，应当严格按照招标文件要求编制投标文件，根据招标项目关键岗位人员的配备标准和规定填报时间填报关键岗位人员信息。从投标文件提交之日起至评标结束之日，其投标文件中承诺的项目负责人不得在其他项目投标中重复使用，已经中标的项目负责人不得重复参与其他项目投标，并承诺对投标文件的合法性、真实性、有效性负责。</w:t>
      </w:r>
    </w:p>
    <w:p>
      <w:pPr>
        <w:widowControl/>
        <w:spacing w:line="240" w:lineRule="auto"/>
        <w:ind w:firstLine="643" w:firstLineChars="0"/>
        <w:jc w:val="left"/>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第七条</w:t>
      </w:r>
      <w:r>
        <w:rPr>
          <w:rFonts w:hint="eastAsia" w:ascii="仿宋" w:hAnsi="仿宋" w:eastAsia="仿宋" w:cs="Calibri"/>
          <w:color w:val="auto"/>
          <w:kern w:val="0"/>
          <w:sz w:val="32"/>
          <w:szCs w:val="32"/>
        </w:rPr>
        <w:t> 计价软件开发单位应当根据《海南省建设工程造价电子数据标准》以及海南省公共资源交易平台发布的计价软件应用程序完善投标报价的计价软件功能，做好技术支持服务，不得为串通投标等违法违规活动提供便利，不得向潜在投标人提供任何形式的组价服务，不得提供清除软硬件信息功能，不得提供一键组价、一键调标功能。</w:t>
      </w:r>
    </w:p>
    <w:p>
      <w:pPr>
        <w:widowControl/>
        <w:spacing w:line="240" w:lineRule="auto"/>
        <w:ind w:firstLine="643" w:firstLineChars="0"/>
        <w:jc w:val="left"/>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第八条</w:t>
      </w:r>
      <w:r>
        <w:rPr>
          <w:rFonts w:hint="eastAsia" w:ascii="仿宋" w:hAnsi="仿宋" w:eastAsia="仿宋" w:cs="Calibri"/>
          <w:color w:val="auto"/>
          <w:kern w:val="0"/>
          <w:sz w:val="32"/>
          <w:szCs w:val="32"/>
        </w:rPr>
        <w:t> 运用“机器管招投标”系统开展招投标活动的，由系统根据招标项目的规模标准自动匹配投标人的资格条件，投标人可以直接在线下载电子招标文件，对提供电子招标文件的招标项目免收招标文件工本费（需要提供纸质资料的除外）。</w:t>
      </w:r>
    </w:p>
    <w:p>
      <w:pPr>
        <w:widowControl/>
        <w:spacing w:line="240" w:lineRule="auto"/>
        <w:ind w:firstLine="0" w:firstLineChars="0"/>
        <w:jc w:val="left"/>
        <w:rPr>
          <w:rFonts w:ascii="Calibri" w:hAnsi="Calibri" w:eastAsia="微软雅黑" w:cs="Calibri"/>
          <w:color w:val="auto"/>
          <w:kern w:val="0"/>
          <w:sz w:val="18"/>
          <w:szCs w:val="18"/>
        </w:rPr>
      </w:pPr>
      <w:r>
        <w:rPr>
          <w:rFonts w:ascii="Calibri" w:hAnsi="Calibri" w:eastAsia="微软雅黑" w:cs="Calibri"/>
          <w:color w:val="auto"/>
          <w:kern w:val="0"/>
          <w:sz w:val="18"/>
          <w:szCs w:val="18"/>
        </w:rPr>
        <w:t> </w:t>
      </w:r>
    </w:p>
    <w:p>
      <w:pPr>
        <w:widowControl/>
        <w:spacing w:line="240" w:lineRule="auto"/>
        <w:ind w:firstLine="0" w:firstLineChars="0"/>
        <w:jc w:val="center"/>
        <w:rPr>
          <w:rFonts w:ascii="Calibri" w:hAnsi="Calibri" w:eastAsia="微软雅黑" w:cs="Calibri"/>
          <w:color w:val="auto"/>
          <w:kern w:val="0"/>
          <w:sz w:val="21"/>
          <w:szCs w:val="21"/>
        </w:rPr>
      </w:pPr>
      <w:r>
        <w:rPr>
          <w:rFonts w:hint="eastAsia" w:ascii="黑体" w:hAnsi="黑体" w:eastAsia="黑体" w:cs="Calibri"/>
          <w:color w:val="auto"/>
          <w:kern w:val="0"/>
          <w:sz w:val="32"/>
          <w:szCs w:val="32"/>
        </w:rPr>
        <w:t>第二章  招   标</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第九条</w:t>
      </w:r>
      <w:r>
        <w:rPr>
          <w:rFonts w:hint="eastAsia" w:ascii="仿宋" w:hAnsi="仿宋" w:eastAsia="仿宋" w:cs="Calibri"/>
          <w:color w:val="auto"/>
          <w:kern w:val="0"/>
          <w:sz w:val="32"/>
          <w:szCs w:val="32"/>
        </w:rPr>
        <w:t> 我省房屋建筑和市政工程的评标办法分为经评审的最低投标价法、简易评估法和综合评估法。</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第十条</w:t>
      </w:r>
      <w:r>
        <w:rPr>
          <w:rFonts w:hint="eastAsia" w:ascii="仿宋" w:hAnsi="仿宋" w:eastAsia="仿宋" w:cs="Calibri"/>
          <w:color w:val="auto"/>
          <w:kern w:val="0"/>
          <w:sz w:val="32"/>
          <w:szCs w:val="32"/>
        </w:rPr>
        <w:t> 符合下列条件之一的采用经评审的最低投标价法：</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（一）招标控制价＜1200万房屋建筑的施工；</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（二）招标控制价＜800万的市政工程（桥梁工程除外）的施工；</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（三）招标控制价＜500万元的专业工程。</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经评审的最低投标价法的评审因素由投标报价、企业诚信评价和拟派项目负责人诚信评价构成，具体做法见附件中经评审的最低投标价法。</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第十一条</w:t>
      </w:r>
      <w:r>
        <w:rPr>
          <w:rFonts w:hint="eastAsia" w:ascii="仿宋" w:hAnsi="仿宋" w:eastAsia="仿宋" w:cs="Calibri"/>
          <w:color w:val="auto"/>
          <w:kern w:val="0"/>
          <w:sz w:val="32"/>
          <w:szCs w:val="32"/>
        </w:rPr>
        <w:t> 除</w:t>
      </w:r>
      <w:r>
        <w:rPr>
          <w:rFonts w:hint="eastAsia" w:ascii="仿宋" w:hAnsi="仿宋" w:eastAsia="仿宋" w:cs="Calibri"/>
          <w:color w:val="auto"/>
          <w:kern w:val="0"/>
          <w:sz w:val="32"/>
          <w:szCs w:val="32"/>
          <w:lang w:eastAsia="zh-CN"/>
        </w:rPr>
        <w:t>第十条</w:t>
      </w:r>
      <w:r>
        <w:rPr>
          <w:rFonts w:hint="eastAsia" w:ascii="仿宋" w:hAnsi="仿宋" w:eastAsia="仿宋" w:cs="Calibri"/>
          <w:color w:val="auto"/>
          <w:kern w:val="0"/>
          <w:sz w:val="32"/>
          <w:szCs w:val="32"/>
        </w:rPr>
        <w:t>规定采用经评审的最低投标价法以外的</w:t>
      </w:r>
      <w:r>
        <w:rPr>
          <w:rFonts w:hint="eastAsia" w:ascii="仿宋" w:hAnsi="仿宋" w:eastAsia="仿宋" w:cs="Calibri"/>
          <w:color w:val="auto"/>
          <w:kern w:val="0"/>
          <w:sz w:val="32"/>
          <w:szCs w:val="32"/>
          <w:lang w:eastAsia="zh-CN"/>
        </w:rPr>
        <w:t>房屋建筑和市政</w:t>
      </w:r>
      <w:r>
        <w:rPr>
          <w:rFonts w:hint="eastAsia" w:ascii="仿宋" w:hAnsi="仿宋" w:eastAsia="仿宋" w:cs="Calibri"/>
          <w:color w:val="auto"/>
          <w:kern w:val="0"/>
          <w:sz w:val="32"/>
          <w:szCs w:val="32"/>
        </w:rPr>
        <w:t>工程项目，</w:t>
      </w:r>
      <w:r>
        <w:rPr>
          <w:rFonts w:hint="eastAsia" w:ascii="仿宋" w:hAnsi="仿宋" w:eastAsia="仿宋" w:cs="Calibri"/>
          <w:color w:val="auto"/>
          <w:kern w:val="0"/>
          <w:sz w:val="32"/>
          <w:szCs w:val="32"/>
          <w:lang w:eastAsia="zh-CN"/>
        </w:rPr>
        <w:t>应</w:t>
      </w:r>
      <w:r>
        <w:rPr>
          <w:rFonts w:hint="eastAsia" w:ascii="仿宋" w:hAnsi="仿宋" w:eastAsia="仿宋" w:cs="Calibri"/>
          <w:color w:val="auto"/>
          <w:kern w:val="0"/>
          <w:sz w:val="32"/>
          <w:szCs w:val="32"/>
        </w:rPr>
        <w:t>采用简易评估法。</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简易评估法的评审因素由投标报价、企业诚信评价和拟派项目负责人诚信评价构成，具体做法见附件中简易评估法。</w:t>
      </w:r>
    </w:p>
    <w:p>
      <w:pPr>
        <w:widowControl/>
        <w:spacing w:line="240" w:lineRule="auto"/>
        <w:ind w:firstLine="640" w:firstLineChars="0"/>
        <w:rPr>
          <w:rFonts w:hint="eastAsia" w:ascii="仿宋" w:hAnsi="仿宋" w:eastAsia="仿宋" w:cs="Calibri"/>
          <w:color w:val="auto"/>
          <w:kern w:val="0"/>
          <w:sz w:val="32"/>
          <w:szCs w:val="32"/>
        </w:rPr>
      </w:pPr>
      <w:r>
        <w:rPr>
          <w:rFonts w:hint="eastAsia" w:ascii="仿宋" w:hAnsi="仿宋" w:eastAsia="仿宋" w:cs="Calibri"/>
          <w:b/>
          <w:bCs/>
          <w:color w:val="auto"/>
          <w:kern w:val="0"/>
          <w:sz w:val="32"/>
          <w:szCs w:val="32"/>
        </w:rPr>
        <w:t>第十二条</w:t>
      </w:r>
      <w:r>
        <w:rPr>
          <w:rFonts w:hint="eastAsia" w:ascii="仿宋" w:hAnsi="仿宋" w:eastAsia="仿宋" w:cs="Calibri"/>
          <w:color w:val="auto"/>
          <w:kern w:val="0"/>
          <w:sz w:val="32"/>
          <w:szCs w:val="32"/>
        </w:rPr>
        <w:t> </w:t>
      </w:r>
      <w:r>
        <w:rPr>
          <w:rFonts w:hint="eastAsia" w:ascii="仿宋" w:hAnsi="仿宋" w:eastAsia="仿宋" w:cs="Calibri"/>
          <w:color w:val="auto"/>
          <w:kern w:val="0"/>
          <w:sz w:val="32"/>
          <w:szCs w:val="32"/>
          <w:lang w:val="en-US" w:eastAsia="zh-CN"/>
        </w:rPr>
        <w:t>涉及</w:t>
      </w:r>
      <w:r>
        <w:rPr>
          <w:rStyle w:val="7"/>
          <w:rFonts w:hint="eastAsia" w:ascii="仿宋" w:hAnsi="仿宋" w:eastAsia="仿宋" w:cs="Calibri"/>
          <w:b w:val="0"/>
          <w:bCs w:val="0"/>
          <w:color w:val="auto"/>
          <w:kern w:val="0"/>
          <w:sz w:val="32"/>
          <w:szCs w:val="32"/>
          <w:lang w:eastAsia="zh-CN"/>
        </w:rPr>
        <w:t>投资金额过大、</w:t>
      </w:r>
      <w:r>
        <w:rPr>
          <w:rFonts w:hint="eastAsia" w:ascii="仿宋" w:hAnsi="仿宋" w:eastAsia="仿宋" w:cs="Calibri"/>
          <w:b w:val="0"/>
          <w:bCs w:val="0"/>
          <w:color w:val="auto"/>
          <w:kern w:val="0"/>
          <w:sz w:val="32"/>
          <w:szCs w:val="32"/>
          <w:lang w:eastAsia="zh-CN"/>
        </w:rPr>
        <w:t>技术复杂、工期紧、风险不可控等原因，或存在危险性较大的分部分项工程</w:t>
      </w:r>
      <w:r>
        <w:rPr>
          <w:rStyle w:val="7"/>
          <w:rFonts w:hint="eastAsia" w:ascii="仿宋" w:hAnsi="仿宋" w:eastAsia="仿宋" w:cs="Calibri"/>
          <w:b w:val="0"/>
          <w:bCs w:val="0"/>
          <w:color w:val="auto"/>
          <w:kern w:val="0"/>
          <w:sz w:val="32"/>
          <w:szCs w:val="32"/>
          <w:lang w:eastAsia="zh-CN"/>
        </w:rPr>
        <w:t>，</w:t>
      </w:r>
      <w:r>
        <w:rPr>
          <w:rFonts w:hint="eastAsia" w:ascii="仿宋" w:hAnsi="仿宋" w:eastAsia="仿宋" w:cs="Calibri"/>
          <w:b w:val="0"/>
          <w:bCs w:val="0"/>
          <w:color w:val="auto"/>
          <w:kern w:val="0"/>
          <w:sz w:val="32"/>
          <w:szCs w:val="32"/>
          <w:lang w:eastAsia="zh-CN"/>
        </w:rPr>
        <w:t>不适宜采用</w:t>
      </w:r>
      <w:r>
        <w:rPr>
          <w:rFonts w:hint="eastAsia" w:ascii="仿宋" w:hAnsi="仿宋" w:eastAsia="仿宋" w:cs="Calibri"/>
          <w:color w:val="auto"/>
          <w:kern w:val="0"/>
          <w:sz w:val="32"/>
          <w:szCs w:val="32"/>
        </w:rPr>
        <w:t>经评审的最低投标价法</w:t>
      </w:r>
      <w:r>
        <w:rPr>
          <w:rFonts w:hint="eastAsia" w:ascii="仿宋" w:hAnsi="仿宋" w:eastAsia="仿宋" w:cs="Calibri"/>
          <w:color w:val="auto"/>
          <w:kern w:val="0"/>
          <w:sz w:val="32"/>
          <w:szCs w:val="32"/>
          <w:lang w:eastAsia="zh-CN"/>
        </w:rPr>
        <w:t>或</w:t>
      </w:r>
      <w:r>
        <w:rPr>
          <w:rFonts w:hint="eastAsia" w:ascii="仿宋" w:hAnsi="仿宋" w:eastAsia="仿宋" w:cs="Calibri"/>
          <w:color w:val="auto"/>
          <w:kern w:val="0"/>
          <w:sz w:val="32"/>
          <w:szCs w:val="32"/>
        </w:rPr>
        <w:t>简易评估法</w:t>
      </w:r>
      <w:r>
        <w:rPr>
          <w:rFonts w:hint="eastAsia" w:ascii="仿宋" w:hAnsi="仿宋" w:eastAsia="仿宋" w:cs="Calibri"/>
          <w:color w:val="auto"/>
          <w:kern w:val="0"/>
          <w:sz w:val="32"/>
          <w:szCs w:val="32"/>
          <w:lang w:eastAsia="zh-CN"/>
        </w:rPr>
        <w:t>进行评标的房屋建筑和市政工程</w:t>
      </w:r>
      <w:r>
        <w:rPr>
          <w:rStyle w:val="7"/>
          <w:rFonts w:hint="eastAsia" w:ascii="仿宋" w:hAnsi="仿宋" w:eastAsia="仿宋" w:cs="Calibri"/>
          <w:b w:val="0"/>
          <w:bCs w:val="0"/>
          <w:color w:val="auto"/>
          <w:kern w:val="0"/>
          <w:sz w:val="32"/>
          <w:szCs w:val="32"/>
          <w:lang w:eastAsia="zh-CN"/>
        </w:rPr>
        <w:t>项目</w:t>
      </w:r>
      <w:r>
        <w:rPr>
          <w:rFonts w:hint="eastAsia" w:ascii="仿宋" w:hAnsi="仿宋" w:eastAsia="仿宋" w:cs="Calibri"/>
          <w:b w:val="0"/>
          <w:bCs w:val="0"/>
          <w:color w:val="auto"/>
          <w:kern w:val="0"/>
          <w:sz w:val="32"/>
          <w:szCs w:val="32"/>
          <w:lang w:eastAsia="zh-CN"/>
        </w:rPr>
        <w:t>，</w:t>
      </w:r>
      <w:r>
        <w:rPr>
          <w:rStyle w:val="7"/>
          <w:rFonts w:hint="eastAsia" w:ascii="仿宋" w:hAnsi="仿宋" w:eastAsia="仿宋" w:cs="Calibri"/>
          <w:b w:val="0"/>
          <w:bCs w:val="0"/>
          <w:color w:val="auto"/>
          <w:kern w:val="0"/>
          <w:sz w:val="32"/>
          <w:szCs w:val="32"/>
          <w:lang w:eastAsia="zh-CN"/>
        </w:rPr>
        <w:t>应由</w:t>
      </w:r>
      <w:r>
        <w:rPr>
          <w:rStyle w:val="7"/>
          <w:rFonts w:hint="eastAsia" w:ascii="仿宋" w:hAnsi="仿宋" w:eastAsia="仿宋" w:cs="Calibri"/>
          <w:b w:val="0"/>
          <w:bCs w:val="0"/>
          <w:color w:val="auto"/>
          <w:kern w:val="0"/>
          <w:sz w:val="32"/>
          <w:szCs w:val="32"/>
        </w:rPr>
        <w:t>业主单位提出</w:t>
      </w:r>
      <w:r>
        <w:rPr>
          <w:rStyle w:val="7"/>
          <w:rFonts w:hint="eastAsia" w:ascii="仿宋" w:hAnsi="仿宋" w:eastAsia="仿宋" w:cs="Calibri"/>
          <w:b w:val="0"/>
          <w:bCs w:val="0"/>
          <w:color w:val="auto"/>
          <w:kern w:val="0"/>
          <w:sz w:val="32"/>
          <w:szCs w:val="32"/>
          <w:lang w:eastAsia="zh-CN"/>
        </w:rPr>
        <w:t>申请</w:t>
      </w:r>
      <w:r>
        <w:rPr>
          <w:rStyle w:val="7"/>
          <w:rFonts w:hint="eastAsia" w:ascii="仿宋" w:hAnsi="仿宋" w:eastAsia="仿宋" w:cs="Calibri"/>
          <w:b w:val="0"/>
          <w:bCs w:val="0"/>
          <w:color w:val="auto"/>
          <w:kern w:val="0"/>
          <w:sz w:val="32"/>
          <w:szCs w:val="32"/>
        </w:rPr>
        <w:t>，</w:t>
      </w:r>
      <w:r>
        <w:rPr>
          <w:rFonts w:hint="eastAsia" w:ascii="仿宋" w:hAnsi="仿宋" w:eastAsia="仿宋" w:cs="Calibri"/>
          <w:b w:val="0"/>
          <w:bCs w:val="0"/>
          <w:color w:val="auto"/>
          <w:kern w:val="0"/>
          <w:sz w:val="32"/>
          <w:szCs w:val="32"/>
        </w:rPr>
        <w:t>由</w:t>
      </w:r>
      <w:r>
        <w:rPr>
          <w:rFonts w:hint="eastAsia" w:ascii="仿宋" w:hAnsi="仿宋" w:eastAsia="仿宋" w:cs="Calibri"/>
          <w:b w:val="0"/>
          <w:bCs w:val="0"/>
          <w:color w:val="auto"/>
          <w:kern w:val="0"/>
          <w:sz w:val="32"/>
          <w:szCs w:val="32"/>
          <w:lang w:eastAsia="zh-CN"/>
        </w:rPr>
        <w:t>省发展和改革委联合省住房和城乡建设厅对该项目进行技术和风险评估，并出具评估</w:t>
      </w:r>
      <w:r>
        <w:rPr>
          <w:rFonts w:hint="eastAsia" w:ascii="仿宋" w:hAnsi="仿宋" w:eastAsia="仿宋" w:cs="Calibri"/>
          <w:color w:val="auto"/>
          <w:kern w:val="0"/>
          <w:sz w:val="32"/>
          <w:szCs w:val="32"/>
        </w:rPr>
        <w:t>意见</w:t>
      </w:r>
      <w:r>
        <w:rPr>
          <w:rFonts w:hint="eastAsia" w:ascii="仿宋" w:hAnsi="仿宋" w:eastAsia="仿宋" w:cs="Calibri"/>
          <w:b w:val="0"/>
          <w:bCs w:val="0"/>
          <w:color w:val="auto"/>
          <w:kern w:val="0"/>
          <w:sz w:val="32"/>
          <w:szCs w:val="32"/>
          <w:lang w:eastAsia="zh-CN"/>
        </w:rPr>
        <w:t>。</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第十三条</w:t>
      </w:r>
      <w:r>
        <w:rPr>
          <w:rFonts w:hint="eastAsia" w:ascii="仿宋" w:hAnsi="仿宋" w:eastAsia="仿宋" w:cs="Calibri"/>
          <w:color w:val="auto"/>
          <w:kern w:val="0"/>
          <w:sz w:val="32"/>
          <w:szCs w:val="32"/>
        </w:rPr>
        <w:t> 招标人在同一时间段实施多个未达到依法必须招标规模标准但类型相同、标准一致、地址相同或相连的同类工程，合并后未达到提高投标人资格条件的，可根据需要合并成一个标段或者数个标段进行招标。</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第十四条</w:t>
      </w:r>
      <w:r>
        <w:rPr>
          <w:rFonts w:hint="eastAsia" w:ascii="仿宋" w:hAnsi="仿宋" w:eastAsia="仿宋" w:cs="Calibri"/>
          <w:color w:val="auto"/>
          <w:kern w:val="0"/>
          <w:sz w:val="32"/>
          <w:szCs w:val="32"/>
        </w:rPr>
        <w:t> 招标人划分标段招标的，评标办法应按照规模标准最大的标段来确定。</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第十五条</w:t>
      </w:r>
      <w:r>
        <w:rPr>
          <w:rFonts w:hint="eastAsia" w:ascii="仿宋" w:hAnsi="仿宋" w:eastAsia="仿宋" w:cs="Calibri"/>
          <w:color w:val="auto"/>
          <w:kern w:val="0"/>
          <w:sz w:val="32"/>
          <w:szCs w:val="32"/>
        </w:rPr>
        <w:t> 招标人或招标代理机构应根据招标项目的特点和需要编制招标文件。招标文件应当包括下列内容：</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（一）招标公告，包括招标条件、项目概况与招标范围、招标文件的获取、投标文件的递交、发布公告的媒体、联系方式；</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（二）建筑市场企业、拟派项目负责人的诚信评价等级和排名；</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（三）拟签订的合同主要条款；</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（四）招标工程量清单；</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（五）评标标准和办法；</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（六）投标报价要求；</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（七）投标有效期。</w:t>
      </w:r>
    </w:p>
    <w:p>
      <w:pPr>
        <w:widowControl/>
        <w:spacing w:line="240" w:lineRule="auto"/>
        <w:ind w:firstLine="643" w:firstLineChars="0"/>
        <w:rPr>
          <w:rFonts w:hint="eastAsia" w:ascii="仿宋" w:hAnsi="仿宋" w:eastAsia="仿宋" w:cs="Calibri"/>
          <w:color w:val="auto"/>
          <w:kern w:val="0"/>
          <w:sz w:val="32"/>
          <w:szCs w:val="32"/>
        </w:rPr>
      </w:pPr>
      <w:r>
        <w:rPr>
          <w:rFonts w:hint="eastAsia" w:ascii="仿宋" w:hAnsi="仿宋" w:eastAsia="仿宋" w:cs="Calibri"/>
          <w:b/>
          <w:bCs/>
          <w:color w:val="auto"/>
          <w:kern w:val="0"/>
          <w:sz w:val="32"/>
          <w:szCs w:val="32"/>
        </w:rPr>
        <w:t>第十六条</w:t>
      </w:r>
      <w:r>
        <w:rPr>
          <w:rFonts w:hint="eastAsia" w:ascii="仿宋" w:hAnsi="仿宋" w:eastAsia="仿宋" w:cs="Calibri"/>
          <w:color w:val="auto"/>
          <w:kern w:val="0"/>
          <w:sz w:val="32"/>
          <w:szCs w:val="32"/>
        </w:rPr>
        <w:t> </w:t>
      </w:r>
      <w:r>
        <w:rPr>
          <w:rFonts w:hint="eastAsia" w:ascii="仿宋" w:hAnsi="仿宋" w:eastAsia="仿宋" w:cs="Calibri"/>
          <w:color w:val="auto"/>
          <w:kern w:val="0"/>
          <w:sz w:val="32"/>
          <w:szCs w:val="32"/>
          <w:lang w:val="en-US" w:eastAsia="zh-CN"/>
        </w:rPr>
        <w:t>招标人应当加强招标工程量清单和招标控制价管理，招标控制价＜1亿元的房屋建筑工程和招标控制价＜8000万元的市政工程，在发布招标文件时应当公布招标工程量清单和招标控制价的所有内容；招标控制价</w:t>
      </w:r>
      <w:r>
        <w:rPr>
          <w:rFonts w:hint="eastAsia" w:ascii="仿宋" w:hAnsi="仿宋" w:eastAsia="仿宋" w:cs="Calibri"/>
          <w:b w:val="0"/>
          <w:bCs w:val="0"/>
          <w:color w:val="auto"/>
          <w:kern w:val="0"/>
          <w:sz w:val="32"/>
          <w:szCs w:val="32"/>
          <w:lang w:val="en-US" w:eastAsia="zh-CN"/>
        </w:rPr>
        <w:t>≧</w:t>
      </w:r>
      <w:r>
        <w:rPr>
          <w:rFonts w:hint="eastAsia" w:ascii="仿宋" w:hAnsi="仿宋" w:eastAsia="仿宋" w:cs="Calibri"/>
          <w:color w:val="auto"/>
          <w:kern w:val="0"/>
          <w:sz w:val="32"/>
          <w:szCs w:val="32"/>
          <w:lang w:val="en-US" w:eastAsia="zh-CN"/>
        </w:rPr>
        <w:t>1亿元的房屋建筑工程和招标控制价</w:t>
      </w:r>
      <w:r>
        <w:rPr>
          <w:rFonts w:hint="eastAsia" w:ascii="仿宋" w:hAnsi="仿宋" w:eastAsia="仿宋" w:cs="Calibri"/>
          <w:b w:val="0"/>
          <w:bCs w:val="0"/>
          <w:color w:val="auto"/>
          <w:kern w:val="0"/>
          <w:sz w:val="32"/>
          <w:szCs w:val="32"/>
          <w:lang w:val="en-US" w:eastAsia="zh-CN"/>
        </w:rPr>
        <w:t>≧</w:t>
      </w:r>
      <w:r>
        <w:rPr>
          <w:rFonts w:hint="eastAsia" w:ascii="仿宋" w:hAnsi="仿宋" w:eastAsia="仿宋" w:cs="Calibri"/>
          <w:color w:val="auto"/>
          <w:kern w:val="0"/>
          <w:sz w:val="32"/>
          <w:szCs w:val="32"/>
          <w:lang w:val="en-US" w:eastAsia="zh-CN"/>
        </w:rPr>
        <w:t>8000万元的市政工程，在发布招标文件时招标控制价公布的内容应包括总价、各专业工程造价、各分部分项工程工程费、不可竞争费、措施项目费、其他项目费、规费和税金，不得只公布招标控制价的总价，并按下列要求向投标人提供工程造价电子文件</w:t>
      </w:r>
      <w:r>
        <w:rPr>
          <w:rFonts w:hint="eastAsia" w:ascii="仿宋" w:hAnsi="仿宋" w:eastAsia="仿宋" w:cs="Calibri"/>
          <w:color w:val="auto"/>
          <w:kern w:val="0"/>
          <w:sz w:val="32"/>
          <w:szCs w:val="32"/>
        </w:rPr>
        <w:t>：</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（一）招标工程量清单和招标控制价的电子文件仅限为XML格式；</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（二）招标人提供的招标工程量清单和招标控制价应当记录软硬件所有信息；</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（三）招标工程量清单的XML格式文件中所有元素不得包含定额子目信息。</w:t>
      </w:r>
    </w:p>
    <w:p>
      <w:pPr>
        <w:widowControl/>
        <w:spacing w:line="240" w:lineRule="auto"/>
        <w:ind w:firstLine="0" w:firstLineChars="0"/>
        <w:jc w:val="center"/>
        <w:rPr>
          <w:rFonts w:ascii="Calibri" w:hAnsi="Calibri" w:eastAsia="微软雅黑" w:cs="Calibri"/>
          <w:color w:val="auto"/>
          <w:kern w:val="0"/>
          <w:sz w:val="21"/>
          <w:szCs w:val="21"/>
        </w:rPr>
      </w:pPr>
      <w:r>
        <w:rPr>
          <w:rFonts w:hint="eastAsia" w:ascii="黑体" w:hAnsi="黑体" w:eastAsia="黑体" w:cs="Calibri"/>
          <w:color w:val="auto"/>
          <w:kern w:val="0"/>
          <w:sz w:val="32"/>
          <w:szCs w:val="32"/>
        </w:rPr>
        <w:t>第三章  投  标</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第十七条</w:t>
      </w:r>
      <w:r>
        <w:rPr>
          <w:rFonts w:hint="eastAsia" w:ascii="仿宋" w:hAnsi="仿宋" w:eastAsia="仿宋" w:cs="Calibri"/>
          <w:color w:val="auto"/>
          <w:kern w:val="0"/>
          <w:sz w:val="32"/>
          <w:szCs w:val="32"/>
        </w:rPr>
        <w:t> 投标人应具备招标项目需要的资质条件、能力和信誉，不得存在下列情形之一：</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（一）被有关行政主管部门责令停业的；</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（二）投标截止前处于被暂停或取消投标资格状态的或被列入失信被执行人、重大税收失信主体等失信惩戒“黑名单”，尚在处罚和惩戒有效期内的；</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（三）财产被司法机关接管或冻结且导致中标后合同无法履行的；</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（四）与招标人存在利害关系可能影响招标公正性的；</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（五）单位负责人为同一人或者存在控股、管理关系的不同单位，同时参加同一标段或未划分标段的投标的；</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（六）相关法律、法规、规章规定的其他不符合投标资格的。</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第十八条</w:t>
      </w:r>
      <w:r>
        <w:rPr>
          <w:rFonts w:hint="eastAsia" w:ascii="仿宋" w:hAnsi="仿宋" w:eastAsia="仿宋" w:cs="Calibri"/>
          <w:color w:val="auto"/>
          <w:kern w:val="0"/>
          <w:sz w:val="32"/>
          <w:szCs w:val="32"/>
        </w:rPr>
        <w:t> 投标人应按照本《若干措施》的第十五条规定编制投标文件，并符合下列要求：</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（一）不得篡改软硬件信息，并按照交易平台要求进行加密和解密；</w:t>
      </w:r>
    </w:p>
    <w:p>
      <w:pPr>
        <w:widowControl/>
        <w:spacing w:line="240" w:lineRule="auto"/>
        <w:ind w:firstLine="640" w:firstLineChars="0"/>
        <w:rPr>
          <w:rFonts w:hint="eastAsia" w:ascii="仿宋" w:hAnsi="仿宋" w:eastAsia="仿宋" w:cs="Calibri"/>
          <w:color w:val="auto"/>
          <w:kern w:val="0"/>
          <w:sz w:val="32"/>
          <w:szCs w:val="32"/>
        </w:rPr>
      </w:pPr>
      <w:r>
        <w:rPr>
          <w:rFonts w:hint="eastAsia" w:ascii="仿宋" w:hAnsi="仿宋" w:eastAsia="仿宋" w:cs="Calibri"/>
          <w:color w:val="auto"/>
          <w:kern w:val="0"/>
          <w:sz w:val="32"/>
          <w:szCs w:val="32"/>
        </w:rPr>
        <w:t>（二）投标报价应由注册在本单位的一级或二级造价工程师使用本单位实名的计价软件编制。委托工程造价咨询企业编制的，应在投标文件中提供加盖双方单位公章的委托书，并在已标价工程量清单上加盖负责编制的工程造价咨询企业公章以及负责审核的一级注册造价师执业印章；</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（三）按照XML格式的招标工程量清单进行投标报价;</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（四）投标报价应当记录投标人软硬件的所有信息，且不得删除招标工程量清单记录的软硬件信息。</w:t>
      </w:r>
    </w:p>
    <w:p>
      <w:pPr>
        <w:widowControl/>
        <w:spacing w:line="240" w:lineRule="auto"/>
        <w:ind w:firstLine="643" w:firstLineChars="0"/>
        <w:rPr>
          <w:rFonts w:hint="eastAsia" w:ascii="仿宋" w:hAnsi="仿宋" w:eastAsia="仿宋" w:cs="Calibri"/>
          <w:color w:val="auto"/>
          <w:kern w:val="0"/>
          <w:sz w:val="32"/>
          <w:szCs w:val="32"/>
        </w:rPr>
      </w:pPr>
      <w:r>
        <w:rPr>
          <w:rFonts w:hint="eastAsia" w:ascii="仿宋" w:hAnsi="仿宋" w:eastAsia="仿宋" w:cs="Calibri"/>
          <w:b/>
          <w:bCs/>
          <w:color w:val="auto"/>
          <w:kern w:val="0"/>
          <w:sz w:val="32"/>
          <w:szCs w:val="32"/>
        </w:rPr>
        <w:t xml:space="preserve">第十九条 </w:t>
      </w:r>
      <w:r>
        <w:rPr>
          <w:rFonts w:hint="eastAsia" w:ascii="仿宋" w:hAnsi="仿宋" w:eastAsia="仿宋" w:cs="Calibri"/>
          <w:color w:val="auto"/>
          <w:kern w:val="0"/>
          <w:sz w:val="32"/>
          <w:szCs w:val="32"/>
        </w:rPr>
        <w:t>投标人应具备自主经营管理能力，配足配齐经营活动所需相应的人员、技术装备。使用自有办公设备编制、递交、解密投标文件，禁止与其他投标人共用办公设备，禁止使用虚拟机，禁止与他人共享投标文件内容。</w:t>
      </w:r>
    </w:p>
    <w:p>
      <w:pPr>
        <w:widowControl/>
        <w:spacing w:line="240" w:lineRule="auto"/>
        <w:ind w:firstLine="643" w:firstLineChars="0"/>
        <w:jc w:val="left"/>
        <w:rPr>
          <w:rFonts w:ascii="Calibri" w:hAnsi="Calibri" w:eastAsia="微软雅黑" w:cs="Calibri"/>
          <w:color w:val="auto"/>
          <w:kern w:val="0"/>
          <w:szCs w:val="24"/>
        </w:rPr>
      </w:pPr>
      <w:r>
        <w:rPr>
          <w:rFonts w:hint="eastAsia" w:ascii="仿宋" w:hAnsi="仿宋" w:eastAsia="仿宋" w:cs="Calibri"/>
          <w:b/>
          <w:bCs/>
          <w:color w:val="auto"/>
          <w:kern w:val="0"/>
          <w:sz w:val="32"/>
          <w:szCs w:val="32"/>
        </w:rPr>
        <w:t>第二十条</w:t>
      </w:r>
      <w:r>
        <w:rPr>
          <w:rFonts w:hint="eastAsia" w:ascii="仿宋" w:hAnsi="仿宋" w:eastAsia="仿宋" w:cs="Calibri"/>
          <w:color w:val="auto"/>
          <w:kern w:val="0"/>
          <w:sz w:val="32"/>
          <w:szCs w:val="32"/>
        </w:rPr>
        <w:t> 投标人应当按照招标文件要求提交投标保证金，投标保证金可采用银行转账、保险保证、银行保函、担保保函等形式。</w:t>
      </w:r>
    </w:p>
    <w:p>
      <w:pPr>
        <w:widowControl/>
        <w:spacing w:line="240" w:lineRule="auto"/>
        <w:ind w:firstLine="0" w:firstLineChars="0"/>
        <w:jc w:val="center"/>
        <w:rPr>
          <w:rFonts w:ascii="Calibri" w:hAnsi="Calibri" w:eastAsia="微软雅黑" w:cs="Calibri"/>
          <w:color w:val="auto"/>
          <w:kern w:val="0"/>
          <w:sz w:val="21"/>
          <w:szCs w:val="21"/>
        </w:rPr>
      </w:pPr>
      <w:r>
        <w:rPr>
          <w:rFonts w:hint="eastAsia" w:ascii="黑体" w:hAnsi="黑体" w:eastAsia="黑体" w:cs="Calibri"/>
          <w:color w:val="auto"/>
          <w:kern w:val="0"/>
          <w:sz w:val="32"/>
          <w:szCs w:val="32"/>
        </w:rPr>
        <w:t>第四章  开标、评标、定标</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第二十一条</w:t>
      </w:r>
      <w:r>
        <w:rPr>
          <w:rFonts w:hint="eastAsia" w:ascii="仿宋" w:hAnsi="仿宋" w:eastAsia="仿宋" w:cs="Calibri"/>
          <w:color w:val="auto"/>
          <w:kern w:val="0"/>
          <w:sz w:val="32"/>
          <w:szCs w:val="32"/>
        </w:rPr>
        <w:t> 招标人（招标代理机构）应当在招标文件规定的时间、地点采用线上或线下或线上线下（现场）相结合方式开标，投标人可通过线上参加开标。</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第二十二条</w:t>
      </w:r>
      <w:r>
        <w:rPr>
          <w:rFonts w:hint="eastAsia" w:ascii="仿宋" w:hAnsi="仿宋" w:eastAsia="仿宋" w:cs="Calibri"/>
          <w:color w:val="auto"/>
          <w:kern w:val="0"/>
          <w:sz w:val="32"/>
          <w:szCs w:val="32"/>
        </w:rPr>
        <w:t> 开标后，招标人或招标代理机构应根据投标人在线解密的投标文件，宣读投标人名称，企业诚信评价、拟派项目负责人诚信评价等级及排名，投标报价等内容。</w:t>
      </w:r>
    </w:p>
    <w:p>
      <w:pPr>
        <w:widowControl/>
        <w:spacing w:line="240" w:lineRule="auto"/>
        <w:ind w:firstLine="643" w:firstLineChars="0"/>
        <w:rPr>
          <w:rFonts w:hint="eastAsia" w:ascii="仿宋" w:hAnsi="仿宋" w:eastAsia="仿宋" w:cs="Calibri"/>
          <w:color w:val="auto"/>
          <w:kern w:val="0"/>
          <w:sz w:val="32"/>
          <w:szCs w:val="32"/>
        </w:rPr>
      </w:pPr>
      <w:r>
        <w:rPr>
          <w:rFonts w:hint="eastAsia" w:ascii="仿宋" w:hAnsi="仿宋" w:eastAsia="仿宋" w:cs="Calibri"/>
          <w:b/>
          <w:bCs/>
          <w:color w:val="auto"/>
          <w:kern w:val="0"/>
          <w:sz w:val="32"/>
          <w:szCs w:val="32"/>
        </w:rPr>
        <w:t>第二十三条</w:t>
      </w:r>
      <w:r>
        <w:rPr>
          <w:rFonts w:hint="eastAsia" w:ascii="仿宋" w:hAnsi="仿宋" w:eastAsia="仿宋" w:cs="Calibri"/>
          <w:color w:val="auto"/>
          <w:kern w:val="0"/>
          <w:sz w:val="32"/>
          <w:szCs w:val="32"/>
        </w:rPr>
        <w:t> 开标结束后，招标人或招标代理机构应通过“机器管招投标”系统的自动比对、筛选功能对所有投标文件的IP地址、计算机网卡MAC地址、计价软件加密锁号和数据储存设备序列号等信息进行自动比对，筛选出合格投标文件进入评标环节，将存在涉嫌串通投标的投标文件自动截留，不得进入评标环节并自动保存后推送给行业监督部门，由行业监督部门按照围标串标行为依法依规进行处理。</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第二十四条</w:t>
      </w:r>
      <w:r>
        <w:rPr>
          <w:rFonts w:hint="eastAsia" w:ascii="仿宋" w:hAnsi="仿宋" w:eastAsia="仿宋" w:cs="Calibri"/>
          <w:color w:val="auto"/>
          <w:kern w:val="0"/>
          <w:sz w:val="32"/>
          <w:szCs w:val="32"/>
        </w:rPr>
        <w:t> 采用经评审的最低投标价法和简易评估法进行招标的项目，在“机器管招投标”系统中设定评标程序，全流程由“机器”自动评标。评标委员会负责对“机器”的评标结果进行复核，如没有发现“机器”推荐的中标候选人存在违法违规行为或重大偏差情形的，不得修改“机器”的评标结果。如中标候选人存在违法违规行为或重大偏差情形，不符合中标条件的，评标委员会应按照“机器”评标结果名单排序依次确定中标候选人。</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第二十五条</w:t>
      </w:r>
      <w:r>
        <w:rPr>
          <w:rFonts w:hint="eastAsia" w:ascii="仿宋" w:hAnsi="仿宋" w:eastAsia="仿宋" w:cs="Calibri"/>
          <w:color w:val="auto"/>
          <w:kern w:val="0"/>
          <w:sz w:val="32"/>
          <w:szCs w:val="32"/>
        </w:rPr>
        <w:t>  试点推行“评定分离”的定标方式，定标可以采用价格竞争定标法、票决定标法、集体议事法等方式。</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（一）试点在海口江东新区、三亚市崖州湾科技城推行“评定分离”的定标方式；</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（二）鼓励依法必须进行招标的项目采用“评定分离”的定标方式。</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第二十六条</w:t>
      </w:r>
      <w:r>
        <w:rPr>
          <w:rFonts w:hint="eastAsia" w:ascii="仿宋" w:hAnsi="仿宋" w:eastAsia="仿宋" w:cs="Calibri"/>
          <w:color w:val="auto"/>
          <w:kern w:val="0"/>
          <w:sz w:val="32"/>
          <w:szCs w:val="32"/>
        </w:rPr>
        <w:t> 采用“评定分离”的招标人应当提前制定定标工作规则和定标方案，坚持择优与竞价相结合，择优为主的原则，细化择优要素等内容。</w:t>
      </w:r>
    </w:p>
    <w:p>
      <w:pPr>
        <w:widowControl/>
        <w:spacing w:line="240" w:lineRule="auto"/>
        <w:ind w:firstLine="0" w:firstLineChars="0"/>
        <w:jc w:val="center"/>
        <w:rPr>
          <w:rFonts w:ascii="Calibri" w:hAnsi="Calibri" w:eastAsia="微软雅黑" w:cs="Calibri"/>
          <w:color w:val="auto"/>
          <w:kern w:val="0"/>
          <w:sz w:val="21"/>
          <w:szCs w:val="21"/>
        </w:rPr>
      </w:pPr>
      <w:r>
        <w:rPr>
          <w:rFonts w:hint="eastAsia" w:ascii="黑体" w:hAnsi="黑体" w:eastAsia="黑体" w:cs="Calibri"/>
          <w:color w:val="auto"/>
          <w:kern w:val="0"/>
          <w:sz w:val="32"/>
          <w:szCs w:val="32"/>
        </w:rPr>
        <w:t>第五章 履  约</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第二十七条</w:t>
      </w:r>
      <w:r>
        <w:rPr>
          <w:rFonts w:hint="eastAsia" w:ascii="仿宋" w:hAnsi="仿宋" w:eastAsia="仿宋" w:cs="Calibri"/>
          <w:color w:val="auto"/>
          <w:kern w:val="0"/>
          <w:sz w:val="32"/>
          <w:szCs w:val="32"/>
        </w:rPr>
        <w:t> 招标人应当在中标候选人公示无异议后，及时确定中标人。</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第二十八条</w:t>
      </w:r>
      <w:r>
        <w:rPr>
          <w:rFonts w:hint="eastAsia" w:ascii="仿宋" w:hAnsi="仿宋" w:eastAsia="仿宋" w:cs="Calibri"/>
          <w:color w:val="auto"/>
          <w:kern w:val="0"/>
          <w:sz w:val="32"/>
          <w:szCs w:val="32"/>
        </w:rPr>
        <w:t> 中标人应当在招标人（招标代理机构）确定中标人后10日内通过海南省住房和城乡建设厅网站</w:t>
      </w:r>
    </w:p>
    <w:p>
      <w:pPr>
        <w:widowControl/>
        <w:spacing w:line="240" w:lineRule="auto"/>
        <w:ind w:firstLine="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http://www.hnjst.gov.cn/）登录海南省建筑市场监管公共服务平台按照《海南省建筑工程施工现场关键岗位人员配备和在岗履职管理办法》规定填报项目名称、项目地址、拟派的施工现场关键岗位人员的配备情况，并将填报信息提交给招标人。拟派的关键岗位人员应按规定到岗履职、考勤。</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第二十九条</w:t>
      </w:r>
      <w:r>
        <w:rPr>
          <w:rFonts w:hint="eastAsia" w:ascii="仿宋" w:hAnsi="仿宋" w:eastAsia="仿宋" w:cs="Calibri"/>
          <w:color w:val="auto"/>
          <w:kern w:val="0"/>
          <w:sz w:val="32"/>
          <w:szCs w:val="32"/>
        </w:rPr>
        <w:t> 招标人在中标通知书发出前，应当核对中标人提交的关键岗位人员的配备情况。</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中标人存在下列情形之一的，招标人应及时报告行业监督部门，并根据“机器”评标结果名单排序依次确定其他中标候选人为中标人并按照相关法律法规进行处理：</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（一）填报的关键岗位人员不符合招标项目配备标准的；</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（二）不在规定时间内进行填报的。</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第三十条</w:t>
      </w:r>
      <w:r>
        <w:rPr>
          <w:rFonts w:hint="eastAsia" w:ascii="仿宋" w:hAnsi="仿宋" w:eastAsia="仿宋" w:cs="Calibri"/>
          <w:color w:val="auto"/>
          <w:kern w:val="0"/>
          <w:sz w:val="32"/>
          <w:szCs w:val="32"/>
        </w:rPr>
        <w:t> 招标人或招标代理机构应当在签订施工合同后及时将施工合同上传至公共资源交易平台，并在5日内通过公共资源交易平台向中标人和未中标的投标人退还投标保证金及银行同期存款利息。</w:t>
      </w:r>
    </w:p>
    <w:p>
      <w:pPr>
        <w:widowControl/>
        <w:spacing w:line="240" w:lineRule="auto"/>
        <w:ind w:firstLine="640" w:firstLineChars="0"/>
        <w:jc w:val="center"/>
        <w:rPr>
          <w:rFonts w:ascii="Calibri" w:hAnsi="Calibri" w:eastAsia="微软雅黑" w:cs="Calibri"/>
          <w:color w:val="auto"/>
          <w:kern w:val="0"/>
          <w:sz w:val="21"/>
          <w:szCs w:val="21"/>
        </w:rPr>
      </w:pPr>
      <w:r>
        <w:rPr>
          <w:rFonts w:hint="eastAsia" w:ascii="黑体" w:hAnsi="黑体" w:eastAsia="黑体" w:cs="Calibri"/>
          <w:color w:val="auto"/>
          <w:kern w:val="0"/>
          <w:sz w:val="32"/>
          <w:szCs w:val="32"/>
        </w:rPr>
        <w:t>第六章 附  则</w:t>
      </w:r>
    </w:p>
    <w:p>
      <w:pPr>
        <w:widowControl/>
        <w:spacing w:line="240" w:lineRule="auto"/>
        <w:ind w:firstLine="643" w:firstLineChars="0"/>
        <w:rPr>
          <w:rFonts w:ascii="Calibri" w:hAnsi="Calibri" w:eastAsia="微软雅黑" w:cs="Calibri"/>
          <w:color w:val="auto"/>
          <w:kern w:val="0"/>
          <w:sz w:val="21"/>
          <w:szCs w:val="21"/>
        </w:rPr>
      </w:pPr>
      <w:r>
        <w:rPr>
          <w:rFonts w:hint="eastAsia" w:ascii="仿宋" w:hAnsi="仿宋" w:eastAsia="仿宋" w:cs="Calibri"/>
          <w:b/>
          <w:bCs/>
          <w:color w:val="auto"/>
          <w:kern w:val="0"/>
          <w:sz w:val="32"/>
          <w:szCs w:val="32"/>
        </w:rPr>
        <w:t>第三十一条</w:t>
      </w:r>
      <w:r>
        <w:rPr>
          <w:rFonts w:hint="eastAsia" w:ascii="仿宋" w:hAnsi="仿宋" w:eastAsia="仿宋" w:cs="Calibri"/>
          <w:color w:val="auto"/>
          <w:kern w:val="0"/>
          <w:sz w:val="32"/>
          <w:szCs w:val="32"/>
        </w:rPr>
        <w:t> 本《若干措施》的具体应用问题由省住房和城乡建设厅负责解释。我省现行评标方法与本《若干措施》不一致的，以本《若干措施》为准。</w:t>
      </w:r>
    </w:p>
    <w:p>
      <w:pPr>
        <w:widowControl/>
        <w:spacing w:line="240" w:lineRule="auto"/>
        <w:ind w:firstLine="643" w:firstLineChars="0"/>
        <w:rPr>
          <w:rFonts w:hint="eastAsia" w:ascii="仿宋" w:hAnsi="仿宋" w:eastAsia="仿宋" w:cs="Calibri"/>
          <w:color w:val="auto"/>
          <w:kern w:val="0"/>
          <w:sz w:val="32"/>
          <w:szCs w:val="32"/>
        </w:rPr>
      </w:pPr>
      <w:r>
        <w:rPr>
          <w:rFonts w:hint="eastAsia" w:ascii="仿宋" w:hAnsi="仿宋" w:eastAsia="仿宋" w:cs="Calibri"/>
          <w:b/>
          <w:bCs/>
          <w:color w:val="auto"/>
          <w:kern w:val="0"/>
          <w:sz w:val="32"/>
          <w:szCs w:val="32"/>
        </w:rPr>
        <w:t>第三十二条</w:t>
      </w:r>
      <w:r>
        <w:rPr>
          <w:rFonts w:hint="eastAsia" w:ascii="仿宋" w:hAnsi="仿宋" w:eastAsia="仿宋" w:cs="Calibri"/>
          <w:color w:val="auto"/>
          <w:kern w:val="0"/>
          <w:sz w:val="32"/>
          <w:szCs w:val="32"/>
        </w:rPr>
        <w:t> 本《若干措施》自2022年10月8日施行，有效期3年。</w:t>
      </w:r>
    </w:p>
    <w:p>
      <w:pPr>
        <w:widowControl/>
        <w:spacing w:line="240" w:lineRule="auto"/>
        <w:ind w:firstLine="640" w:firstLineChars="0"/>
        <w:rPr>
          <w:rFonts w:ascii="Calibri" w:hAnsi="Calibri" w:eastAsia="微软雅黑" w:cs="Calibri"/>
          <w:color w:val="auto"/>
          <w:kern w:val="0"/>
          <w:sz w:val="21"/>
          <w:szCs w:val="21"/>
        </w:rPr>
      </w:pPr>
      <w:r>
        <w:rPr>
          <w:rFonts w:ascii="Calibri" w:hAnsi="Calibri" w:eastAsia="微软雅黑" w:cs="Calibri"/>
          <w:color w:val="auto"/>
          <w:kern w:val="0"/>
          <w:sz w:val="21"/>
          <w:szCs w:val="21"/>
        </w:rPr>
        <w:t> </w:t>
      </w:r>
    </w:p>
    <w:p>
      <w:pPr>
        <w:widowControl/>
        <w:spacing w:line="240" w:lineRule="auto"/>
        <w:ind w:firstLine="640" w:firstLineChars="0"/>
        <w:rPr>
          <w:rFonts w:ascii="Calibri" w:hAnsi="Calibri" w:eastAsia="微软雅黑" w:cs="Calibri"/>
          <w:color w:val="auto"/>
          <w:kern w:val="0"/>
          <w:sz w:val="21"/>
          <w:szCs w:val="21"/>
        </w:rPr>
      </w:pPr>
      <w:r>
        <w:rPr>
          <w:rFonts w:hint="eastAsia" w:ascii="仿宋" w:hAnsi="仿宋" w:eastAsia="仿宋" w:cs="Calibri"/>
          <w:color w:val="auto"/>
          <w:kern w:val="0"/>
          <w:sz w:val="32"/>
          <w:szCs w:val="32"/>
        </w:rPr>
        <w:t>附件：评标办法</w:t>
      </w:r>
    </w:p>
    <w:p>
      <w:pPr>
        <w:widowControl/>
        <w:spacing w:line="240" w:lineRule="auto"/>
        <w:ind w:firstLine="0" w:firstLineChars="0"/>
        <w:jc w:val="left"/>
        <w:rPr>
          <w:rFonts w:ascii="Calibri" w:hAnsi="Calibri" w:eastAsia="微软雅黑" w:cs="Calibri"/>
          <w:color w:val="auto"/>
          <w:kern w:val="0"/>
          <w:sz w:val="18"/>
          <w:szCs w:val="18"/>
        </w:rPr>
      </w:pPr>
      <w:r>
        <w:rPr>
          <w:rFonts w:ascii="Calibri" w:hAnsi="Calibri" w:eastAsia="微软雅黑" w:cs="Calibri"/>
          <w:color w:val="auto"/>
          <w:kern w:val="0"/>
          <w:sz w:val="18"/>
          <w:szCs w:val="18"/>
        </w:rPr>
        <w:t> </w:t>
      </w:r>
    </w:p>
    <w:p>
      <w:pPr>
        <w:widowControl/>
        <w:spacing w:line="240" w:lineRule="auto"/>
        <w:ind w:firstLine="0" w:firstLineChars="0"/>
        <w:jc w:val="left"/>
        <w:rPr>
          <w:rFonts w:ascii="Calibri" w:hAnsi="Calibri" w:eastAsia="微软雅黑" w:cs="Calibri"/>
          <w:color w:val="auto"/>
          <w:kern w:val="0"/>
          <w:sz w:val="18"/>
          <w:szCs w:val="18"/>
        </w:rPr>
      </w:pPr>
      <w:r>
        <w:rPr>
          <w:rFonts w:ascii="Calibri" w:hAnsi="Calibri" w:eastAsia="微软雅黑" w:cs="Calibri"/>
          <w:color w:val="auto"/>
          <w:kern w:val="0"/>
          <w:sz w:val="18"/>
          <w:szCs w:val="18"/>
        </w:rPr>
        <w:t> </w:t>
      </w:r>
    </w:p>
    <w:p>
      <w:pPr>
        <w:widowControl/>
        <w:spacing w:line="240" w:lineRule="auto"/>
        <w:ind w:firstLine="0" w:firstLineChars="0"/>
        <w:jc w:val="left"/>
        <w:rPr>
          <w:rFonts w:ascii="Calibri" w:hAnsi="Calibri" w:eastAsia="微软雅黑" w:cs="Calibri"/>
          <w:color w:val="auto"/>
          <w:kern w:val="0"/>
          <w:sz w:val="18"/>
          <w:szCs w:val="18"/>
        </w:rPr>
      </w:pPr>
      <w:r>
        <w:rPr>
          <w:rFonts w:ascii="Calibri" w:hAnsi="Calibri" w:eastAsia="微软雅黑" w:cs="Calibri"/>
          <w:color w:val="auto"/>
          <w:kern w:val="0"/>
          <w:sz w:val="18"/>
          <w:szCs w:val="18"/>
        </w:rPr>
        <w:t> </w:t>
      </w:r>
    </w:p>
    <w:p>
      <w:pPr>
        <w:widowControl/>
        <w:spacing w:line="240" w:lineRule="auto"/>
        <w:ind w:firstLine="0" w:firstLineChars="0"/>
        <w:rPr>
          <w:rFonts w:hint="eastAsia" w:ascii="黑体" w:hAnsi="黑体" w:eastAsia="黑体" w:cs="Calibri"/>
          <w:color w:val="auto"/>
          <w:kern w:val="0"/>
          <w:sz w:val="32"/>
          <w:szCs w:val="32"/>
        </w:rPr>
      </w:pPr>
      <w:r>
        <w:rPr>
          <w:rFonts w:hint="eastAsia" w:ascii="黑体" w:hAnsi="黑体" w:eastAsia="黑体" w:cs="Calibri"/>
          <w:color w:val="auto"/>
          <w:kern w:val="0"/>
          <w:sz w:val="32"/>
          <w:szCs w:val="32"/>
        </w:rPr>
        <w:br w:type="page"/>
      </w:r>
    </w:p>
    <w:p>
      <w:pPr>
        <w:widowControl/>
        <w:spacing w:line="240" w:lineRule="auto"/>
        <w:ind w:firstLine="0" w:firstLineChars="0"/>
        <w:rPr>
          <w:rFonts w:ascii="Calibri" w:hAnsi="Calibri" w:eastAsia="微软雅黑" w:cs="Calibri"/>
          <w:color w:val="auto"/>
          <w:kern w:val="0"/>
          <w:sz w:val="21"/>
          <w:szCs w:val="21"/>
        </w:rPr>
      </w:pPr>
      <w:bookmarkStart w:id="0" w:name="_GoBack"/>
      <w:bookmarkEnd w:id="0"/>
      <w:r>
        <w:rPr>
          <w:rFonts w:hint="eastAsia" w:ascii="黑体" w:hAnsi="黑体" w:eastAsia="黑体" w:cs="Calibri"/>
          <w:color w:val="auto"/>
          <w:kern w:val="0"/>
          <w:sz w:val="32"/>
          <w:szCs w:val="32"/>
        </w:rPr>
        <w:t>附件</w:t>
      </w:r>
    </w:p>
    <w:p>
      <w:pPr>
        <w:widowControl/>
        <w:spacing w:line="240" w:lineRule="auto"/>
        <w:ind w:firstLine="0" w:firstLineChars="0"/>
        <w:jc w:val="center"/>
        <w:rPr>
          <w:rFonts w:ascii="Calibri" w:hAnsi="Calibri" w:eastAsia="微软雅黑" w:cs="Calibri"/>
          <w:color w:val="auto"/>
          <w:kern w:val="0"/>
          <w:sz w:val="21"/>
          <w:szCs w:val="21"/>
        </w:rPr>
      </w:pPr>
      <w:r>
        <w:rPr>
          <w:rFonts w:hint="eastAsia" w:ascii="黑体" w:hAnsi="黑体" w:eastAsia="黑体" w:cs="Calibri"/>
          <w:color w:val="auto"/>
          <w:kern w:val="0"/>
          <w:sz w:val="44"/>
          <w:szCs w:val="44"/>
        </w:rPr>
        <w:t>评标办法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2013"/>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455"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auto"/>
              <w:ind w:firstLine="0" w:firstLineChars="0"/>
              <w:jc w:val="center"/>
              <w:rPr>
                <w:rFonts w:ascii="微软雅黑" w:hAnsi="微软雅黑" w:eastAsia="微软雅黑" w:cs="宋体"/>
                <w:color w:val="auto"/>
                <w:kern w:val="0"/>
                <w:sz w:val="21"/>
                <w:szCs w:val="21"/>
              </w:rPr>
            </w:pPr>
            <w:r>
              <w:rPr>
                <w:rFonts w:hint="eastAsia" w:ascii="宋体" w:hAnsi="宋体" w:eastAsia="宋体" w:cs="宋体"/>
                <w:b/>
                <w:bCs/>
                <w:color w:val="auto"/>
                <w:sz w:val="21"/>
                <w:szCs w:val="21"/>
              </w:rPr>
              <w:t>评标办法</w:t>
            </w:r>
          </w:p>
        </w:tc>
        <w:tc>
          <w:tcPr>
            <w:tcW w:w="2013"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auto"/>
              <w:ind w:firstLine="0" w:firstLineChars="0"/>
              <w:jc w:val="center"/>
              <w:rPr>
                <w:rFonts w:hint="eastAsia" w:ascii="微软雅黑" w:hAnsi="微软雅黑" w:eastAsia="微软雅黑" w:cs="宋体"/>
                <w:color w:val="auto"/>
                <w:kern w:val="0"/>
                <w:sz w:val="21"/>
                <w:szCs w:val="21"/>
              </w:rPr>
            </w:pPr>
            <w:r>
              <w:rPr>
                <w:rFonts w:hint="eastAsia" w:ascii="宋体" w:hAnsi="宋体" w:eastAsia="宋体" w:cs="宋体"/>
                <w:b/>
                <w:bCs/>
                <w:color w:val="auto"/>
                <w:sz w:val="21"/>
                <w:szCs w:val="21"/>
              </w:rPr>
              <w:t>招标阶段</w:t>
            </w:r>
          </w:p>
        </w:tc>
        <w:tc>
          <w:tcPr>
            <w:tcW w:w="590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auto"/>
              <w:ind w:firstLine="0" w:firstLineChars="0"/>
              <w:jc w:val="center"/>
              <w:rPr>
                <w:rFonts w:hint="eastAsia" w:ascii="微软雅黑" w:hAnsi="微软雅黑" w:eastAsia="微软雅黑" w:cs="宋体"/>
                <w:color w:val="auto"/>
                <w:kern w:val="0"/>
                <w:sz w:val="21"/>
                <w:szCs w:val="21"/>
              </w:rPr>
            </w:pPr>
            <w:r>
              <w:rPr>
                <w:rFonts w:hint="eastAsia" w:ascii="宋体" w:hAnsi="宋体" w:eastAsia="宋体" w:cs="宋体"/>
                <w:b/>
                <w:bCs/>
                <w:color w:val="auto"/>
                <w:sz w:val="21"/>
                <w:szCs w:val="21"/>
              </w:rPr>
              <w:t>主要做法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ind w:firstLine="0" w:firstLineChars="0"/>
              <w:jc w:val="right"/>
              <w:rPr>
                <w:rFonts w:hint="eastAsia" w:ascii="微软雅黑" w:hAnsi="微软雅黑" w:eastAsia="微软雅黑" w:cs="宋体"/>
                <w:color w:val="auto"/>
                <w:kern w:val="0"/>
                <w:sz w:val="21"/>
                <w:szCs w:val="21"/>
              </w:rPr>
            </w:pPr>
            <w:r>
              <w:rPr>
                <w:rFonts w:hint="eastAsia" w:ascii="宋体" w:hAnsi="宋体" w:eastAsia="宋体" w:cs="宋体"/>
                <w:b/>
                <w:bCs/>
                <w:color w:val="auto"/>
                <w:sz w:val="21"/>
                <w:szCs w:val="21"/>
              </w:rPr>
              <w:t>经评审的最</w:t>
            </w:r>
          </w:p>
          <w:p>
            <w:pPr>
              <w:widowControl/>
              <w:spacing w:before="100" w:beforeAutospacing="1" w:after="100" w:afterAutospacing="1" w:line="240" w:lineRule="auto"/>
              <w:ind w:firstLine="0" w:firstLineChars="0"/>
              <w:jc w:val="right"/>
              <w:rPr>
                <w:rFonts w:hint="eastAsia" w:ascii="微软雅黑" w:hAnsi="微软雅黑" w:eastAsia="微软雅黑" w:cs="宋体"/>
                <w:color w:val="auto"/>
                <w:kern w:val="0"/>
                <w:sz w:val="21"/>
                <w:szCs w:val="21"/>
              </w:rPr>
            </w:pPr>
            <w:r>
              <w:rPr>
                <w:rFonts w:hint="eastAsia" w:ascii="宋体" w:hAnsi="宋体" w:eastAsia="宋体" w:cs="宋体"/>
                <w:b/>
                <w:bCs/>
                <w:color w:val="auto"/>
                <w:sz w:val="21"/>
                <w:szCs w:val="21"/>
              </w:rPr>
              <w:t>低投标价法</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ind w:firstLine="0" w:firstLineChars="0"/>
              <w:jc w:val="center"/>
              <w:rPr>
                <w:rFonts w:hint="eastAsia" w:ascii="微软雅黑" w:hAnsi="微软雅黑" w:eastAsia="微软雅黑" w:cs="宋体"/>
                <w:color w:val="auto"/>
                <w:kern w:val="0"/>
                <w:sz w:val="21"/>
                <w:szCs w:val="21"/>
              </w:rPr>
            </w:pPr>
            <w:r>
              <w:rPr>
                <w:rFonts w:hint="eastAsia" w:ascii="宋体" w:hAnsi="宋体" w:eastAsia="宋体" w:cs="宋体"/>
                <w:b/>
                <w:bCs/>
                <w:color w:val="auto"/>
                <w:sz w:val="21"/>
                <w:szCs w:val="21"/>
              </w:rPr>
              <w:t>施工阶段</w:t>
            </w:r>
          </w:p>
        </w:tc>
        <w:tc>
          <w:tcPr>
            <w:tcW w:w="590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评审因素由投标报价、企业诚信评价和拟派项目负责人诚信评价构成，投标报价权重为82-90%，企业诚信评价权重为5-8%，拟派项目负责人诚信评价权重为5-10%。</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一、确定入围投标人</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（一）计算平均值Pp：</w:t>
            </w:r>
            <w:r>
              <w:rPr>
                <w:rFonts w:hint="eastAsia" w:ascii="宋体" w:hAnsi="宋体" w:eastAsia="宋体" w:cs="宋体"/>
                <w:color w:val="auto"/>
                <w:kern w:val="0"/>
                <w:sz w:val="18"/>
                <w:szCs w:val="18"/>
              </w:rPr>
              <w:t>先剔除投标报价最高的20%家（有小数时按上限取整数以X表示）和最低的10%家（有小数时按上限取整数以Y表示），然后进行算术平均（剔除投标报价后的数量应等于计算算术平均的数量），计算得出投标人投标报价的平均值。</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 </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当n≤10时，Pp＝∑Pi/n</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当n＞10时Pp＝（∑Pi-</w:t>
            </w:r>
            <w:r>
              <w:rPr>
                <w:rFonts w:ascii="宋体" w:hAnsi="宋体" w:eastAsia="宋体" w:cs="宋体"/>
                <w:color w:val="auto"/>
                <w:sz w:val="18"/>
                <w:szCs w:val="18"/>
              </w:rPr>
              <w:drawing>
                <wp:inline distT="0" distB="0" distL="0" distR="0">
                  <wp:extent cx="590550" cy="457200"/>
                  <wp:effectExtent l="0" t="0" r="0" b="0"/>
                  <wp:docPr id="1938794465"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38794465" name="图片 8"/>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590550" cy="457200"/>
                          </a:xfrm>
                          <a:prstGeom prst="rect">
                            <a:avLst/>
                          </a:prstGeom>
                          <a:noFill/>
                          <a:ln>
                            <a:noFill/>
                          </a:ln>
                        </pic:spPr>
                      </pic:pic>
                    </a:graphicData>
                  </a:graphic>
                </wp:inline>
              </w:drawing>
            </w:r>
            <w:r>
              <w:rPr>
                <w:rFonts w:hint="eastAsia" w:ascii="宋体" w:hAnsi="宋体" w:eastAsia="宋体" w:cs="宋体"/>
                <w:color w:val="auto"/>
                <w:kern w:val="0"/>
                <w:sz w:val="18"/>
                <w:szCs w:val="18"/>
              </w:rPr>
              <w:t>-</w:t>
            </w:r>
            <w:r>
              <w:rPr>
                <w:rFonts w:ascii="宋体" w:hAnsi="宋体" w:eastAsia="宋体" w:cs="宋体"/>
                <w:color w:val="auto"/>
                <w:sz w:val="18"/>
                <w:szCs w:val="18"/>
              </w:rPr>
              <w:drawing>
                <wp:inline distT="0" distB="0" distL="0" distR="0">
                  <wp:extent cx="565150" cy="457200"/>
                  <wp:effectExtent l="0" t="0" r="6350" b="0"/>
                  <wp:docPr id="1778333140"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78333140" name="图片 7"/>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565150" cy="457200"/>
                          </a:xfrm>
                          <a:prstGeom prst="rect">
                            <a:avLst/>
                          </a:prstGeom>
                          <a:noFill/>
                          <a:ln>
                            <a:noFill/>
                          </a:ln>
                        </pic:spPr>
                      </pic:pic>
                    </a:graphicData>
                  </a:graphic>
                </wp:inline>
              </w:drawing>
            </w:r>
            <w:r>
              <w:rPr>
                <w:rFonts w:hint="eastAsia" w:ascii="宋体" w:hAnsi="宋体" w:eastAsia="宋体" w:cs="宋体"/>
                <w:color w:val="auto"/>
                <w:kern w:val="0"/>
                <w:sz w:val="18"/>
                <w:szCs w:val="18"/>
              </w:rPr>
              <w:t>）/(n-X-Y)；</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（二）计算评标基准价Pg</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Pg=Pp×(1-Fg)</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Fg为投标竞争率。投标竞争率由招标人在招标文件中确定。投标竞争率可参照以下计取：房屋建筑工程为</w:t>
            </w:r>
            <w:r>
              <w:rPr>
                <w:rFonts w:hint="eastAsia" w:ascii="宋体" w:hAnsi="宋体" w:eastAsia="宋体" w:cs="宋体"/>
                <w:color w:val="auto"/>
                <w:kern w:val="0"/>
                <w:sz w:val="18"/>
                <w:szCs w:val="18"/>
                <w:lang w:val="en-US" w:eastAsia="zh-CN"/>
              </w:rPr>
              <w:t>1.80%</w:t>
            </w:r>
            <w:r>
              <w:rPr>
                <w:rFonts w:hint="eastAsia" w:ascii="宋体" w:hAnsi="宋体" w:eastAsia="宋体" w:cs="宋体"/>
                <w:color w:val="auto"/>
                <w:kern w:val="0"/>
                <w:sz w:val="18"/>
                <w:szCs w:val="18"/>
              </w:rPr>
              <w:t>；市政工程取值为</w:t>
            </w:r>
            <w:r>
              <w:rPr>
                <w:rFonts w:hint="eastAsia" w:ascii="宋体" w:hAnsi="宋体" w:eastAsia="宋体" w:cs="宋体"/>
                <w:color w:val="auto"/>
                <w:kern w:val="0"/>
                <w:sz w:val="18"/>
                <w:szCs w:val="18"/>
                <w:lang w:val="en-US" w:eastAsia="zh-CN"/>
              </w:rPr>
              <w:t>3.20%</w:t>
            </w:r>
            <w:r>
              <w:rPr>
                <w:rFonts w:hint="eastAsia" w:ascii="宋体" w:hAnsi="宋体" w:eastAsia="宋体" w:cs="宋体"/>
                <w:color w:val="auto"/>
                <w:kern w:val="0"/>
                <w:sz w:val="18"/>
                <w:szCs w:val="18"/>
              </w:rPr>
              <w:t>；专业工程取值为</w:t>
            </w:r>
            <w:r>
              <w:rPr>
                <w:rFonts w:hint="eastAsia" w:ascii="宋体" w:hAnsi="宋体" w:eastAsia="宋体" w:cs="宋体"/>
                <w:color w:val="auto"/>
                <w:kern w:val="0"/>
                <w:sz w:val="18"/>
                <w:szCs w:val="18"/>
                <w:lang w:val="en-US" w:eastAsia="zh-CN"/>
              </w:rPr>
              <w:t>3.50%</w:t>
            </w:r>
            <w:r>
              <w:rPr>
                <w:rFonts w:hint="eastAsia" w:ascii="宋体" w:hAnsi="宋体" w:eastAsia="宋体" w:cs="宋体"/>
                <w:color w:val="auto"/>
                <w:kern w:val="0"/>
                <w:sz w:val="18"/>
                <w:szCs w:val="18"/>
              </w:rPr>
              <w:t>；绿化种植工程取值为</w:t>
            </w:r>
            <w:r>
              <w:rPr>
                <w:rFonts w:hint="eastAsia" w:ascii="宋体" w:hAnsi="宋体" w:eastAsia="宋体" w:cs="宋体"/>
                <w:color w:val="auto"/>
                <w:kern w:val="0"/>
                <w:sz w:val="18"/>
                <w:szCs w:val="18"/>
                <w:lang w:val="en-US" w:eastAsia="zh-CN"/>
              </w:rPr>
              <w:t>5.00%</w:t>
            </w:r>
            <w:r>
              <w:rPr>
                <w:rFonts w:hint="eastAsia" w:ascii="宋体" w:hAnsi="宋体" w:eastAsia="宋体" w:cs="宋体"/>
                <w:color w:val="auto"/>
                <w:kern w:val="0"/>
                <w:sz w:val="18"/>
                <w:szCs w:val="18"/>
              </w:rPr>
              <w:t>；园建工程或综合园林工程取值为</w:t>
            </w:r>
            <w:r>
              <w:rPr>
                <w:rFonts w:hint="eastAsia" w:ascii="宋体" w:hAnsi="宋体" w:eastAsia="宋体" w:cs="宋体"/>
                <w:color w:val="auto"/>
                <w:kern w:val="0"/>
                <w:sz w:val="18"/>
                <w:szCs w:val="18"/>
                <w:lang w:val="en-US" w:eastAsia="zh-CN"/>
              </w:rPr>
              <w:t>1.50%</w:t>
            </w:r>
            <w:r>
              <w:rPr>
                <w:rFonts w:hint="eastAsia" w:ascii="宋体" w:hAnsi="宋体" w:eastAsia="宋体" w:cs="宋体"/>
                <w:color w:val="auto"/>
                <w:kern w:val="0"/>
                <w:sz w:val="18"/>
                <w:szCs w:val="18"/>
              </w:rPr>
              <w:t>。</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（三）确定20家入围投标人</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以评标基准价Pg比较所有投标人的投标报价，将投标报价和评标基准价Pg差的绝对值从低至高进行排列，取前20家（不足20家时全部计算）进行评审。</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sz w:val="18"/>
                <w:szCs w:val="18"/>
              </w:rPr>
              <w:t>二、计算投标人投标报价得分（</w:t>
            </w:r>
            <w:r>
              <w:rPr>
                <w:rFonts w:hint="eastAsia" w:ascii="宋体" w:hAnsi="宋体" w:eastAsia="宋体" w:cs="宋体"/>
                <w:b/>
                <w:bCs/>
                <w:color w:val="auto"/>
                <w:kern w:val="0"/>
                <w:sz w:val="18"/>
                <w:szCs w:val="18"/>
              </w:rPr>
              <w:t>A</w:t>
            </w:r>
            <w:r>
              <w:rPr>
                <w:rFonts w:hint="eastAsia" w:ascii="宋体" w:hAnsi="宋体" w:eastAsia="宋体" w:cs="宋体"/>
                <w:b/>
                <w:bCs/>
                <w:color w:val="auto"/>
                <w:sz w:val="18"/>
                <w:szCs w:val="18"/>
              </w:rPr>
              <w:t>）</w:t>
            </w:r>
            <w:r>
              <w:rPr>
                <w:rFonts w:hint="eastAsia" w:ascii="宋体" w:hAnsi="宋体" w:eastAsia="宋体" w:cs="宋体"/>
                <w:b/>
                <w:bCs/>
                <w:color w:val="auto"/>
                <w:kern w:val="0"/>
                <w:sz w:val="18"/>
                <w:szCs w:val="18"/>
              </w:rPr>
              <w:t>（权重为82-90%）</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（一）总报价得分（A1）（占报价A权重的60%）</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以评标基准价Pg与入围的20家投标人的投标报价Pi进行对比，计算总报价（A1）得分。</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1.投标报价Pi每高于评标基准价Pg的1%（含1%）扣2分。</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以满分50分为例，总报价（A1）得分的计算公式为：</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A1＝50－[（Pi- Pg）/Pg]×100×2</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2.投标报价Pi每低于评标基准价Pg的1%（含1%）扣1分。</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以满分50分为例，总报价（A1）得分的计算公式为：</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A1＝50－[（Pg- Pi）/Pg]×100×1</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（二）分部分项工程量清单报价得分（A2）（投标报价权重的40%）</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先按照各分部工程造价占招标控制价的比重从高至低确定</w:t>
            </w:r>
            <w:r>
              <w:rPr>
                <w:rFonts w:hint="eastAsia" w:ascii="宋体" w:hAnsi="宋体" w:eastAsia="宋体" w:cs="宋体"/>
                <w:color w:val="auto"/>
                <w:kern w:val="0"/>
                <w:sz w:val="18"/>
                <w:szCs w:val="18"/>
                <w:lang w:val="en-US" w:eastAsia="zh-CN"/>
              </w:rPr>
              <w:t>5个分部工程，再从5个分部工程中抽取分部分项工程量清单综合合价占该分部工程造价的比重从高至低分别取6、5、4、3、2共20项工程量清单</w:t>
            </w:r>
            <w:r>
              <w:rPr>
                <w:rFonts w:hint="eastAsia" w:ascii="宋体" w:hAnsi="宋体" w:eastAsia="宋体" w:cs="宋体"/>
                <w:color w:val="auto"/>
                <w:kern w:val="0"/>
                <w:sz w:val="18"/>
                <w:szCs w:val="18"/>
                <w:lang w:val="zh-CN"/>
              </w:rPr>
              <w:t>作为评审内容。</w:t>
            </w:r>
            <w:r>
              <w:rPr>
                <w:rFonts w:hint="eastAsia" w:ascii="宋体" w:hAnsi="宋体" w:eastAsia="宋体" w:cs="宋体"/>
                <w:color w:val="auto"/>
                <w:kern w:val="0"/>
                <w:sz w:val="18"/>
                <w:szCs w:val="18"/>
                <w:lang w:val="en-US" w:eastAsia="zh-CN"/>
              </w:rPr>
              <w:t>5个</w:t>
            </w:r>
            <w:r>
              <w:rPr>
                <w:rFonts w:hint="eastAsia" w:ascii="宋体" w:hAnsi="宋体" w:eastAsia="宋体" w:cs="宋体"/>
                <w:color w:val="auto"/>
                <w:kern w:val="0"/>
                <w:sz w:val="18"/>
                <w:szCs w:val="18"/>
                <w:lang w:val="zh-CN" w:eastAsia="zh-CN"/>
              </w:rPr>
              <w:t>确定的分部工程工程量清单</w:t>
            </w:r>
            <w:r>
              <w:rPr>
                <w:rFonts w:hint="eastAsia" w:ascii="宋体" w:hAnsi="宋体" w:eastAsia="宋体" w:cs="宋体"/>
                <w:color w:val="auto"/>
                <w:kern w:val="0"/>
                <w:sz w:val="18"/>
                <w:szCs w:val="18"/>
                <w:lang w:val="zh-CN"/>
              </w:rPr>
              <w:t>不足</w:t>
            </w:r>
            <w:r>
              <w:rPr>
                <w:rFonts w:hint="eastAsia" w:ascii="宋体" w:hAnsi="宋体" w:eastAsia="宋体" w:cs="宋体"/>
                <w:color w:val="auto"/>
                <w:kern w:val="0"/>
                <w:sz w:val="18"/>
                <w:szCs w:val="18"/>
                <w:lang w:val="zh-CN" w:eastAsia="zh-CN"/>
              </w:rPr>
              <w:t>以上规定数量的</w:t>
            </w:r>
            <w:r>
              <w:rPr>
                <w:rFonts w:hint="eastAsia" w:ascii="宋体" w:hAnsi="宋体" w:eastAsia="宋体" w:cs="宋体"/>
                <w:color w:val="auto"/>
                <w:kern w:val="0"/>
                <w:sz w:val="18"/>
                <w:szCs w:val="18"/>
                <w:lang w:val="zh-CN"/>
              </w:rPr>
              <w:t>，按实际工程量清单列计。</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评审标准先以评标基准价</w:t>
            </w:r>
            <w:r>
              <w:rPr>
                <w:rFonts w:hint="eastAsia" w:ascii="宋体" w:hAnsi="宋体" w:eastAsia="宋体" w:cs="宋体"/>
                <w:color w:val="auto"/>
                <w:kern w:val="0"/>
                <w:sz w:val="18"/>
                <w:szCs w:val="18"/>
                <w:lang w:val="en-US" w:eastAsia="zh-CN"/>
              </w:rPr>
              <w:t>Pg与招标控制价对比计算下浮率；再以计算出来的下浮率修正招标控制价中对应的20项工程量清单的综合单价；再次以修正后的20项工程量清单的综合单价的+20%（含20%）计算的综合单价作为</w:t>
            </w:r>
            <w:r>
              <w:rPr>
                <w:rFonts w:hint="eastAsia" w:ascii="宋体" w:hAnsi="宋体" w:eastAsia="宋体" w:cs="宋体"/>
                <w:color w:val="auto"/>
                <w:kern w:val="0"/>
                <w:sz w:val="18"/>
                <w:szCs w:val="18"/>
                <w:lang w:val="zh-CN" w:eastAsia="zh-CN"/>
              </w:rPr>
              <w:t>分部分项工程工程量清单</w:t>
            </w:r>
            <w:r>
              <w:rPr>
                <w:rFonts w:hint="eastAsia" w:ascii="宋体" w:hAnsi="宋体" w:eastAsia="宋体" w:cs="宋体"/>
                <w:color w:val="auto"/>
                <w:kern w:val="0"/>
                <w:sz w:val="18"/>
                <w:szCs w:val="18"/>
                <w:lang w:val="en-US" w:eastAsia="zh-CN"/>
              </w:rPr>
              <w:t>最高投标限价（其中综合单价中的人工工资单价不得低于相应时期省住房和城乡建设厅发布的人工工资单价），超过+20%报价的得0分，该</w:t>
            </w:r>
            <w:r>
              <w:rPr>
                <w:rFonts w:hint="eastAsia" w:ascii="宋体" w:hAnsi="宋体" w:eastAsia="宋体" w:cs="宋体"/>
                <w:color w:val="auto"/>
                <w:kern w:val="0"/>
                <w:sz w:val="18"/>
                <w:szCs w:val="18"/>
                <w:lang w:val="zh-CN" w:eastAsia="zh-CN"/>
              </w:rPr>
              <w:t>分部分项工程工程量清单</w:t>
            </w:r>
            <w:r>
              <w:rPr>
                <w:rFonts w:hint="eastAsia" w:ascii="宋体" w:hAnsi="宋体" w:eastAsia="宋体" w:cs="宋体"/>
                <w:color w:val="auto"/>
                <w:kern w:val="0"/>
                <w:sz w:val="18"/>
                <w:szCs w:val="18"/>
                <w:lang w:val="en-US" w:eastAsia="zh-CN"/>
              </w:rPr>
              <w:t>报价不得参与</w:t>
            </w:r>
            <w:r>
              <w:rPr>
                <w:rFonts w:hint="eastAsia" w:ascii="宋体" w:hAnsi="宋体" w:eastAsia="宋体" w:cs="宋体"/>
                <w:color w:val="auto"/>
                <w:kern w:val="0"/>
                <w:sz w:val="18"/>
                <w:szCs w:val="18"/>
                <w:lang w:val="zh-CN" w:eastAsia="zh-CN"/>
              </w:rPr>
              <w:t>算术平均值的计算。</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评审时将同一编号的综合单价去掉</w:t>
            </w: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lang w:val="zh-CN" w:eastAsia="zh-CN"/>
              </w:rPr>
              <w:t>个最高单价和</w:t>
            </w:r>
            <w:r>
              <w:rPr>
                <w:rFonts w:hint="eastAsia" w:ascii="宋体" w:hAnsi="宋体" w:eastAsia="宋体" w:cs="宋体"/>
                <w:color w:val="auto"/>
                <w:kern w:val="0"/>
                <w:sz w:val="18"/>
                <w:szCs w:val="18"/>
                <w:lang w:val="en-US" w:eastAsia="zh-CN"/>
              </w:rPr>
              <w:t>1</w:t>
            </w:r>
            <w:r>
              <w:rPr>
                <w:rFonts w:hint="eastAsia" w:ascii="宋体" w:hAnsi="宋体" w:eastAsia="宋体" w:cs="宋体"/>
                <w:color w:val="auto"/>
                <w:kern w:val="0"/>
                <w:sz w:val="18"/>
                <w:szCs w:val="18"/>
                <w:lang w:val="zh-CN" w:eastAsia="zh-CN"/>
              </w:rPr>
              <w:t>个最低单价的算术平均值作为该清单项目综合单价评标基准价（当≤7 家符合要求时，按算术平均值作为该清单项目综合单价评标基准价）</w:t>
            </w:r>
            <w:r>
              <w:rPr>
                <w:rFonts w:hint="eastAsia" w:ascii="宋体" w:hAnsi="宋体" w:eastAsia="宋体" w:cs="宋体"/>
                <w:color w:val="auto"/>
                <w:kern w:val="0"/>
                <w:sz w:val="18"/>
                <w:szCs w:val="18"/>
                <w:lang w:val="en-US" w:eastAsia="zh-CN"/>
              </w:rPr>
              <w:t>。投标人分部分项工程量清单综合单价报价每高于或低于该清单项目</w:t>
            </w:r>
            <w:r>
              <w:rPr>
                <w:rFonts w:hint="eastAsia" w:ascii="宋体" w:hAnsi="宋体" w:eastAsia="宋体" w:cs="宋体"/>
                <w:color w:val="auto"/>
                <w:kern w:val="0"/>
                <w:sz w:val="18"/>
                <w:szCs w:val="18"/>
                <w:lang w:val="zh-CN" w:eastAsia="zh-CN"/>
              </w:rPr>
              <w:t>综合单价</w:t>
            </w:r>
            <w:r>
              <w:rPr>
                <w:rFonts w:hint="eastAsia" w:ascii="宋体" w:hAnsi="宋体" w:eastAsia="宋体" w:cs="宋体"/>
                <w:color w:val="auto"/>
                <w:kern w:val="0"/>
                <w:sz w:val="18"/>
                <w:szCs w:val="18"/>
                <w:lang w:val="en-US" w:eastAsia="zh-CN"/>
              </w:rPr>
              <w:t>评标基准价一定幅度扣相应分数，直到扣完所占分值为止（</w:t>
            </w:r>
            <w:r>
              <w:rPr>
                <w:rFonts w:hint="eastAsia" w:ascii="宋体" w:hAnsi="宋体" w:eastAsia="宋体" w:cs="宋体"/>
                <w:color w:val="auto"/>
                <w:kern w:val="0"/>
                <w:sz w:val="18"/>
                <w:szCs w:val="18"/>
                <w:lang w:val="zh-CN" w:eastAsia="zh-CN"/>
              </w:rPr>
              <w:t>投标报价每高于评标基准价</w:t>
            </w:r>
            <w:r>
              <w:rPr>
                <w:rFonts w:hint="eastAsia" w:ascii="宋体" w:hAnsi="宋体" w:eastAsia="宋体" w:cs="宋体"/>
                <w:color w:val="auto"/>
                <w:kern w:val="0"/>
                <w:sz w:val="18"/>
                <w:szCs w:val="18"/>
                <w:lang w:val="en-US" w:eastAsia="zh-CN"/>
              </w:rPr>
              <w:t>1%（含1%）扣0.5分，投标报价每低于评标基准价1%（含1%）扣0.2分）。每条清单的得分以该分部分项工程量清单的计算得分除以清单数量计算（保留小数点后两位），以每条清单2分为例，计算每条清单项目的得分</w:t>
            </w:r>
            <w:r>
              <w:rPr>
                <w:rFonts w:hint="eastAsia" w:ascii="宋体" w:hAnsi="宋体" w:eastAsia="宋体" w:cs="宋体"/>
                <w:color w:val="auto"/>
                <w:kern w:val="0"/>
                <w:sz w:val="18"/>
                <w:szCs w:val="18"/>
                <w:lang w:val="en" w:eastAsia="zh-CN"/>
              </w:rPr>
              <w:t>a2</w:t>
            </w:r>
            <w:r>
              <w:rPr>
                <w:rFonts w:hint="eastAsia" w:ascii="宋体" w:hAnsi="宋体" w:eastAsia="宋体" w:cs="宋体"/>
                <w:color w:val="auto"/>
                <w:kern w:val="0"/>
                <w:sz w:val="18"/>
                <w:szCs w:val="18"/>
                <w:lang w:val="en-US" w:eastAsia="zh-CN"/>
              </w:rPr>
              <w:t>的公式为：</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当投标人报价 &gt; 评标基准价时：</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 w:eastAsia="zh-CN"/>
              </w:rPr>
              <w:t>a2</w:t>
            </w:r>
            <w:r>
              <w:rPr>
                <w:rFonts w:hint="eastAsia" w:ascii="宋体" w:hAnsi="宋体" w:eastAsia="宋体" w:cs="宋体"/>
                <w:color w:val="auto"/>
                <w:kern w:val="0"/>
                <w:sz w:val="18"/>
                <w:szCs w:val="18"/>
                <w:lang w:val="en-US" w:eastAsia="zh-CN"/>
              </w:rPr>
              <w:t>＝2－[（报价- 评标基准价）/ 评标基准价]×100×0.5。</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当投标人报价 &lt; 评标基准价时：</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 w:eastAsia="zh-CN"/>
              </w:rPr>
              <w:t>a2</w:t>
            </w:r>
            <w:r>
              <w:rPr>
                <w:rFonts w:hint="eastAsia" w:ascii="宋体" w:hAnsi="宋体" w:eastAsia="宋体" w:cs="宋体"/>
                <w:color w:val="auto"/>
                <w:kern w:val="0"/>
                <w:sz w:val="18"/>
                <w:szCs w:val="18"/>
                <w:lang w:val="en-US" w:eastAsia="zh-CN"/>
              </w:rPr>
              <w:t>＝2－[（评标基准价-报价）/评标基准价]×100×0.2。</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 xml:space="preserve">  分部分项工程量清单报价（A2）得分：</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lang w:val="en-US" w:eastAsia="zh-CN"/>
              </w:rPr>
              <w:t>A2=∑</w:t>
            </w:r>
            <w:r>
              <w:rPr>
                <w:rFonts w:hint="eastAsia" w:ascii="宋体" w:hAnsi="宋体" w:eastAsia="宋体" w:cs="宋体"/>
                <w:color w:val="auto"/>
                <w:kern w:val="0"/>
                <w:sz w:val="18"/>
                <w:szCs w:val="18"/>
                <w:lang w:val="en" w:eastAsia="zh-CN"/>
              </w:rPr>
              <w:t>a2</w:t>
            </w:r>
            <w:r>
              <w:rPr>
                <w:rFonts w:hint="eastAsia" w:ascii="宋体" w:hAnsi="宋体" w:eastAsia="宋体" w:cs="宋体"/>
                <w:color w:val="auto"/>
                <w:kern w:val="0"/>
                <w:sz w:val="18"/>
                <w:szCs w:val="18"/>
                <w:lang w:val="en-US" w:eastAsia="zh-CN"/>
              </w:rPr>
              <w:t xml:space="preserve"> </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（三）计算</w:t>
            </w:r>
            <w:r>
              <w:rPr>
                <w:rFonts w:hint="eastAsia" w:ascii="宋体" w:hAnsi="宋体" w:eastAsia="宋体" w:cs="宋体"/>
                <w:b/>
                <w:bCs/>
                <w:color w:val="auto"/>
                <w:sz w:val="18"/>
                <w:szCs w:val="18"/>
              </w:rPr>
              <w:t>投标人投标报价得分（</w:t>
            </w:r>
            <w:r>
              <w:rPr>
                <w:rFonts w:hint="eastAsia" w:ascii="宋体" w:hAnsi="宋体" w:eastAsia="宋体" w:cs="宋体"/>
                <w:b/>
                <w:bCs/>
                <w:color w:val="auto"/>
                <w:kern w:val="0"/>
                <w:sz w:val="18"/>
                <w:szCs w:val="18"/>
              </w:rPr>
              <w:t>A</w:t>
            </w:r>
            <w:r>
              <w:rPr>
                <w:rFonts w:hint="eastAsia" w:ascii="宋体" w:hAnsi="宋体" w:eastAsia="宋体" w:cs="宋体"/>
                <w:b/>
                <w:bCs/>
                <w:color w:val="auto"/>
                <w:sz w:val="18"/>
                <w:szCs w:val="18"/>
              </w:rPr>
              <w:t>），</w:t>
            </w:r>
            <w:r>
              <w:rPr>
                <w:rFonts w:hint="eastAsia" w:ascii="宋体" w:hAnsi="宋体" w:eastAsia="宋体" w:cs="宋体"/>
                <w:b/>
                <w:bCs/>
                <w:color w:val="auto"/>
                <w:kern w:val="0"/>
                <w:sz w:val="18"/>
                <w:szCs w:val="18"/>
              </w:rPr>
              <w:t>A=A1+A2</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三、计算企业诚信评价得分（B）（权重为5-8%）</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一）计算企业诚信评价等级为A级的投标人得分（按权重的85%-100%，不含85%）：投标人排名最高的得该权重计算得分的最高分，相同评价等级中排名最低的投标人得该权重计算得分的最低分，其他相同企业诚信评价等级的投标人得分按直线内插法计算得分，计算B1;</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（二）计算企业诚信评价等级为B级的投标人得分（按权重的70%-85%，</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含70%）:投标人排名最高的得该权重计算得分的最高分，相同评价等级中排名最低的投标人得该权重计算得分的最低分，其他相同企业诚信评价等级的投标人得分按直线内插法计算得分，计算B2;</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（三）计算企业诚信评价等级为C级的投标人得分（按权重的60%-70%，</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含60%）:投标人排名最高的得该权重计算得分的最高分，相同评价等级中排名最低的投标人得该权重计算得分的最低分，其他相同企业诚信评价等级的投标人得分按直线内插法计算得分，计算B3。</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（四）计算企业诚信评价等级为D级的投标人得分（按权重的40%-60%，</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含40%）:投标人排名最高的得该权重计算得分的最高分，相同评价等级中排名最低的投标人得该权重计算得分的最低分，其他相同企业诚信评价等级的投标人得分按直线内插法计算得分，计算B4。</w:t>
            </w:r>
          </w:p>
          <w:p>
            <w:pPr>
              <w:widowControl/>
              <w:spacing w:before="100" w:beforeAutospacing="1" w:after="100" w:afterAutospacing="1" w:line="240" w:lineRule="auto"/>
              <w:ind w:firstLine="36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（五）企业诚信评价等级为其他等级的均得0分。</w:t>
            </w:r>
          </w:p>
          <w:p>
            <w:pPr>
              <w:widowControl/>
              <w:spacing w:before="100" w:beforeAutospacing="1" w:after="100" w:afterAutospacing="1" w:line="240" w:lineRule="auto"/>
              <w:ind w:firstLine="360"/>
              <w:jc w:val="left"/>
              <w:rPr>
                <w:rFonts w:hint="eastAsia" w:ascii="宋体" w:hAnsi="宋体" w:eastAsia="宋体" w:cs="宋体"/>
                <w:color w:val="auto"/>
                <w:kern w:val="0"/>
                <w:sz w:val="18"/>
                <w:szCs w:val="18"/>
                <w:lang w:val="en" w:eastAsia="zh-CN"/>
              </w:rPr>
            </w:pPr>
            <w:r>
              <w:rPr>
                <w:rFonts w:hint="eastAsia" w:ascii="宋体" w:hAnsi="宋体" w:eastAsia="宋体" w:cs="宋体"/>
                <w:color w:val="auto"/>
                <w:kern w:val="0"/>
                <w:sz w:val="18"/>
                <w:szCs w:val="18"/>
                <w:lang w:val="en" w:eastAsia="zh-CN"/>
              </w:rPr>
              <w:t>（六）联合体的诚信得分按各联合体成员诚信得分的算术平均值计算。</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四、计算拟派项目负责人诚信评价得分（C）（权重为5-10%）</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一）计算拟派项目负责人诚信评价等级为A级得分（按权重的80%-100%，不含80%）：拟派项目负责人排名最高的得该权重计算得分的最高分，相同评价等级中排名最低的投标人得该权重计算得分的最低分，其他相同企业诚信评价等级的投标人得分按直线内插法计算得分，计算</w:t>
            </w:r>
            <w:r>
              <w:rPr>
                <w:rFonts w:hint="eastAsia" w:ascii="宋体" w:hAnsi="宋体" w:eastAsia="宋体" w:cs="宋体"/>
                <w:b/>
                <w:bCs/>
                <w:color w:val="auto"/>
                <w:kern w:val="0"/>
                <w:sz w:val="18"/>
                <w:szCs w:val="18"/>
              </w:rPr>
              <w:t>C</w:t>
            </w:r>
            <w:r>
              <w:rPr>
                <w:rFonts w:hint="eastAsia" w:ascii="宋体" w:hAnsi="宋体" w:eastAsia="宋体" w:cs="宋体"/>
                <w:color w:val="auto"/>
                <w:kern w:val="0"/>
                <w:sz w:val="18"/>
                <w:szCs w:val="18"/>
              </w:rPr>
              <w:t>1；</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（二）计算拟派项目负责人诚信评价等级为</w:t>
            </w:r>
            <w:r>
              <w:rPr>
                <w:rFonts w:hint="default" w:ascii="宋体" w:hAnsi="宋体" w:eastAsia="宋体" w:cs="宋体"/>
                <w:color w:val="auto"/>
                <w:kern w:val="0"/>
                <w:sz w:val="18"/>
                <w:szCs w:val="18"/>
                <w:lang w:val="en"/>
              </w:rPr>
              <w:t>B</w:t>
            </w:r>
            <w:r>
              <w:rPr>
                <w:rFonts w:hint="eastAsia" w:ascii="宋体" w:hAnsi="宋体" w:eastAsia="宋体" w:cs="宋体"/>
                <w:color w:val="auto"/>
                <w:kern w:val="0"/>
                <w:sz w:val="18"/>
                <w:szCs w:val="18"/>
              </w:rPr>
              <w:t>级得分（按权重的60%-80%，</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含60%）:拟派项目负责人排名最高的得该权重计算得分的最高分，相同评价等级中排名最低的投标人得该权重计算得分的最低分，其他相同企业诚信评价等级的投标人得分按直线内插法计算得分，计算</w:t>
            </w:r>
            <w:r>
              <w:rPr>
                <w:rFonts w:hint="eastAsia" w:ascii="宋体" w:hAnsi="宋体" w:eastAsia="宋体" w:cs="宋体"/>
                <w:b/>
                <w:bCs/>
                <w:color w:val="auto"/>
                <w:kern w:val="0"/>
                <w:sz w:val="18"/>
                <w:szCs w:val="18"/>
              </w:rPr>
              <w:t>C</w:t>
            </w:r>
            <w:r>
              <w:rPr>
                <w:rFonts w:hint="eastAsia" w:ascii="宋体" w:hAnsi="宋体" w:eastAsia="宋体" w:cs="宋体"/>
                <w:color w:val="auto"/>
                <w:kern w:val="0"/>
                <w:sz w:val="18"/>
                <w:szCs w:val="18"/>
              </w:rPr>
              <w:t>2；</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（三）拟派项目负责人诚信评价等级为</w:t>
            </w:r>
            <w:r>
              <w:rPr>
                <w:rFonts w:hint="default" w:ascii="宋体" w:hAnsi="宋体" w:eastAsia="宋体" w:cs="宋体"/>
                <w:color w:val="auto"/>
                <w:kern w:val="0"/>
                <w:sz w:val="18"/>
                <w:szCs w:val="18"/>
                <w:lang w:val="en"/>
              </w:rPr>
              <w:t>C</w:t>
            </w:r>
            <w:r>
              <w:rPr>
                <w:rFonts w:hint="eastAsia" w:ascii="宋体" w:hAnsi="宋体" w:eastAsia="宋体" w:cs="宋体"/>
                <w:color w:val="auto"/>
                <w:kern w:val="0"/>
                <w:sz w:val="18"/>
                <w:szCs w:val="18"/>
              </w:rPr>
              <w:t>级得分（按权重的40%-60%，</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含40%）:拟派项目负责人排名最高的得该权重计算得分的最高分，相同评价等级中排名最低的投标人得该权重计算得分的最低分，其他相同企业诚信评价等级的投标人得分按直线内插法计算得分，计算</w:t>
            </w:r>
            <w:r>
              <w:rPr>
                <w:rFonts w:hint="eastAsia" w:ascii="宋体" w:hAnsi="宋体" w:eastAsia="宋体" w:cs="宋体"/>
                <w:b/>
                <w:bCs/>
                <w:color w:val="auto"/>
                <w:kern w:val="0"/>
                <w:sz w:val="18"/>
                <w:szCs w:val="18"/>
              </w:rPr>
              <w:t>C3；</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（四）拟派项目负责人诚信评价等级为其他等级的均得0分；</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（五）招标人可根据招标项目的实际情况，要求拟派项目负责人在近3年内获得过国家级奖项或省级奖项或具有类似工程经验的，可适当提高该项得分权重。</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五、投标人总得分=A+B+C</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注：各项计算、评分结果均按四舍五入方法精确到小数点后2位。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ind w:firstLine="0" w:firstLineChars="0"/>
              <w:jc w:val="center"/>
              <w:rPr>
                <w:rFonts w:hint="eastAsia" w:ascii="微软雅黑" w:hAnsi="微软雅黑" w:eastAsia="微软雅黑" w:cs="宋体"/>
                <w:color w:val="auto"/>
                <w:kern w:val="0"/>
                <w:sz w:val="21"/>
                <w:szCs w:val="21"/>
              </w:rPr>
            </w:pPr>
            <w:r>
              <w:rPr>
                <w:rFonts w:hint="eastAsia" w:ascii="宋体" w:hAnsi="宋体" w:eastAsia="宋体" w:cs="宋体"/>
                <w:b/>
                <w:bCs/>
                <w:color w:val="auto"/>
                <w:sz w:val="21"/>
                <w:szCs w:val="21"/>
              </w:rPr>
              <w:t>简易评估法</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ind w:firstLine="0" w:firstLineChars="0"/>
              <w:jc w:val="center"/>
              <w:rPr>
                <w:rFonts w:hint="eastAsia" w:ascii="微软雅黑" w:hAnsi="微软雅黑" w:eastAsia="微软雅黑" w:cs="宋体"/>
                <w:color w:val="auto"/>
                <w:kern w:val="0"/>
                <w:sz w:val="21"/>
                <w:szCs w:val="21"/>
              </w:rPr>
            </w:pPr>
            <w:r>
              <w:rPr>
                <w:rFonts w:hint="eastAsia" w:ascii="宋体" w:hAnsi="宋体" w:eastAsia="宋体" w:cs="宋体"/>
                <w:b/>
                <w:bCs/>
                <w:color w:val="auto"/>
                <w:sz w:val="21"/>
                <w:szCs w:val="21"/>
              </w:rPr>
              <w:t>施工阶段</w:t>
            </w:r>
          </w:p>
        </w:tc>
        <w:tc>
          <w:tcPr>
            <w:tcW w:w="590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评审因素由投标报价、企业诚信评价和拟派项目负责人诚信评价构成，投标报价权重为65-82%，企业诚信评价权重为8-17%，拟派项目负责人诚信评价权重为10-18%。</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一、确定入围投标人</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（一）</w:t>
            </w:r>
            <w:r>
              <w:rPr>
                <w:rFonts w:hint="eastAsia" w:ascii="宋体" w:hAnsi="宋体" w:eastAsia="宋体" w:cs="宋体"/>
                <w:color w:val="auto"/>
                <w:kern w:val="0"/>
                <w:sz w:val="18"/>
                <w:szCs w:val="18"/>
                <w:lang w:val="en-US" w:eastAsia="zh-CN"/>
              </w:rPr>
              <w:t>投标人数量超过60家时，“机器管招投标”系统首先将企业诚信评价等级为</w:t>
            </w:r>
            <w:r>
              <w:rPr>
                <w:rFonts w:hint="eastAsia" w:ascii="宋体" w:hAnsi="宋体" w:eastAsia="宋体" w:cs="宋体"/>
                <w:color w:val="auto"/>
                <w:kern w:val="0"/>
                <w:sz w:val="18"/>
                <w:szCs w:val="18"/>
                <w:lang w:val="en" w:eastAsia="zh-CN"/>
              </w:rPr>
              <w:t>A级的投标人的投标报价计算算术平均值，再以算术平均值和投标报价的差的绝对值从低至高进行排列，取前</w:t>
            </w:r>
            <w:r>
              <w:rPr>
                <w:rFonts w:hint="eastAsia" w:ascii="宋体" w:hAnsi="宋体" w:eastAsia="宋体" w:cs="宋体"/>
                <w:color w:val="auto"/>
                <w:kern w:val="0"/>
                <w:sz w:val="18"/>
                <w:szCs w:val="18"/>
                <w:lang w:val="en-US" w:eastAsia="zh-CN"/>
              </w:rPr>
              <w:t>20家（</w:t>
            </w:r>
            <w:r>
              <w:rPr>
                <w:rFonts w:hint="eastAsia" w:ascii="宋体" w:hAnsi="宋体" w:eastAsia="宋体" w:cs="宋体"/>
                <w:color w:val="auto"/>
                <w:kern w:val="0"/>
                <w:sz w:val="18"/>
                <w:szCs w:val="18"/>
                <w:lang w:val="en" w:eastAsia="zh-CN"/>
              </w:rPr>
              <w:t>A级</w:t>
            </w:r>
            <w:r>
              <w:rPr>
                <w:rFonts w:hint="eastAsia" w:ascii="宋体" w:hAnsi="宋体" w:eastAsia="宋体" w:cs="宋体"/>
                <w:color w:val="auto"/>
                <w:kern w:val="0"/>
                <w:sz w:val="18"/>
                <w:szCs w:val="18"/>
                <w:lang w:val="en-US" w:eastAsia="zh-CN"/>
              </w:rPr>
              <w:t>投标人数量没有达到20家时，全部进入。如</w:t>
            </w:r>
            <w:r>
              <w:rPr>
                <w:rFonts w:hint="eastAsia" w:ascii="宋体" w:hAnsi="宋体" w:eastAsia="宋体" w:cs="宋体"/>
                <w:color w:val="auto"/>
                <w:kern w:val="0"/>
                <w:sz w:val="18"/>
                <w:szCs w:val="18"/>
                <w:lang w:val="en" w:eastAsia="zh-CN"/>
              </w:rPr>
              <w:t>差的绝对值相同时，取投标报价低的进入</w:t>
            </w:r>
            <w:r>
              <w:rPr>
                <w:rFonts w:hint="eastAsia" w:ascii="宋体" w:hAnsi="宋体" w:eastAsia="宋体" w:cs="宋体"/>
                <w:color w:val="auto"/>
                <w:kern w:val="0"/>
                <w:sz w:val="18"/>
                <w:szCs w:val="18"/>
                <w:lang w:val="en-US" w:eastAsia="zh-CN"/>
              </w:rPr>
              <w:t>）进入评审；其次将企业诚信评价等级为</w:t>
            </w:r>
            <w:r>
              <w:rPr>
                <w:rFonts w:hint="eastAsia" w:ascii="宋体" w:hAnsi="宋体" w:eastAsia="宋体" w:cs="宋体"/>
                <w:color w:val="auto"/>
                <w:kern w:val="0"/>
                <w:sz w:val="18"/>
                <w:szCs w:val="18"/>
                <w:lang w:val="en" w:eastAsia="zh-CN"/>
              </w:rPr>
              <w:t>B级的投标人的投标报价计算算术平均值，再以算术平均值和投标报价的差的绝对值从低至高进行排列，取前</w:t>
            </w:r>
            <w:r>
              <w:rPr>
                <w:rFonts w:hint="eastAsia" w:ascii="宋体" w:hAnsi="宋体" w:eastAsia="宋体" w:cs="宋体"/>
                <w:color w:val="auto"/>
                <w:kern w:val="0"/>
                <w:sz w:val="18"/>
                <w:szCs w:val="18"/>
                <w:lang w:val="en-US" w:eastAsia="zh-CN"/>
              </w:rPr>
              <w:t>10家（</w:t>
            </w:r>
            <w:r>
              <w:rPr>
                <w:rFonts w:hint="eastAsia" w:ascii="宋体" w:hAnsi="宋体" w:eastAsia="宋体" w:cs="宋体"/>
                <w:color w:val="auto"/>
                <w:kern w:val="0"/>
                <w:sz w:val="18"/>
                <w:szCs w:val="18"/>
                <w:lang w:val="en" w:eastAsia="zh-CN"/>
              </w:rPr>
              <w:t>B级</w:t>
            </w:r>
            <w:r>
              <w:rPr>
                <w:rFonts w:hint="eastAsia" w:ascii="宋体" w:hAnsi="宋体" w:eastAsia="宋体" w:cs="宋体"/>
                <w:color w:val="auto"/>
                <w:kern w:val="0"/>
                <w:sz w:val="18"/>
                <w:szCs w:val="18"/>
                <w:lang w:val="en-US" w:eastAsia="zh-CN"/>
              </w:rPr>
              <w:t>投标人数量没有达到10家时，全部进入。如</w:t>
            </w:r>
            <w:r>
              <w:rPr>
                <w:rFonts w:hint="eastAsia" w:ascii="宋体" w:hAnsi="宋体" w:eastAsia="宋体" w:cs="宋体"/>
                <w:color w:val="auto"/>
                <w:kern w:val="0"/>
                <w:sz w:val="18"/>
                <w:szCs w:val="18"/>
                <w:lang w:val="en" w:eastAsia="zh-CN"/>
              </w:rPr>
              <w:t>差的绝对值相同时，取投标报价低的进入</w:t>
            </w:r>
            <w:r>
              <w:rPr>
                <w:rFonts w:hint="eastAsia" w:ascii="宋体" w:hAnsi="宋体" w:eastAsia="宋体" w:cs="宋体"/>
                <w:color w:val="auto"/>
                <w:kern w:val="0"/>
                <w:sz w:val="18"/>
                <w:szCs w:val="18"/>
                <w:lang w:val="en-US" w:eastAsia="zh-CN"/>
              </w:rPr>
              <w:t>）进入评审；最后将剩下</w:t>
            </w:r>
            <w:r>
              <w:rPr>
                <w:rFonts w:hint="eastAsia" w:ascii="宋体" w:hAnsi="宋体" w:eastAsia="宋体" w:cs="宋体"/>
                <w:color w:val="auto"/>
                <w:kern w:val="0"/>
                <w:sz w:val="18"/>
                <w:szCs w:val="18"/>
                <w:lang w:val="en" w:eastAsia="zh-CN"/>
              </w:rPr>
              <w:t>投标人</w:t>
            </w:r>
            <w:r>
              <w:rPr>
                <w:rFonts w:hint="eastAsia" w:ascii="宋体" w:hAnsi="宋体" w:eastAsia="宋体" w:cs="宋体"/>
                <w:color w:val="auto"/>
                <w:kern w:val="0"/>
                <w:sz w:val="18"/>
                <w:szCs w:val="18"/>
                <w:lang w:val="en-US" w:eastAsia="zh-CN"/>
              </w:rPr>
              <w:t>（如有符合投标条件的境外（含港、澳、台地区）企业参加投标且投标人数量超过5家时，按上述方法计算后取排名前5家进入，不足5家时，全部进入）</w:t>
            </w:r>
            <w:r>
              <w:rPr>
                <w:rFonts w:hint="eastAsia" w:ascii="宋体" w:hAnsi="宋体" w:eastAsia="宋体" w:cs="宋体"/>
                <w:color w:val="auto"/>
                <w:kern w:val="0"/>
                <w:sz w:val="18"/>
                <w:szCs w:val="18"/>
                <w:lang w:val="en" w:eastAsia="zh-CN"/>
              </w:rPr>
              <w:t>的投标报价计算算术平均值，再以算术平均值和投标报价的差的绝对值从低至高进行排列补齐</w:t>
            </w:r>
            <w:r>
              <w:rPr>
                <w:rFonts w:hint="eastAsia" w:ascii="宋体" w:hAnsi="宋体" w:eastAsia="宋体" w:cs="宋体"/>
                <w:color w:val="auto"/>
                <w:kern w:val="0"/>
                <w:sz w:val="18"/>
                <w:szCs w:val="18"/>
                <w:lang w:val="en-US" w:eastAsia="zh-CN"/>
              </w:rPr>
              <w:t>30家（如</w:t>
            </w:r>
            <w:r>
              <w:rPr>
                <w:rFonts w:hint="eastAsia" w:ascii="宋体" w:hAnsi="宋体" w:eastAsia="宋体" w:cs="宋体"/>
                <w:color w:val="auto"/>
                <w:kern w:val="0"/>
                <w:sz w:val="18"/>
                <w:szCs w:val="18"/>
                <w:lang w:val="en" w:eastAsia="zh-CN"/>
              </w:rPr>
              <w:t>差的绝对值相同时，取投标报价低的进入，如A级或B级企业没有达到上述规定数量时，应按</w:t>
            </w:r>
            <w:r>
              <w:rPr>
                <w:rFonts w:hint="eastAsia" w:ascii="宋体" w:hAnsi="宋体" w:eastAsia="宋体" w:cs="宋体"/>
                <w:color w:val="auto"/>
                <w:kern w:val="0"/>
                <w:sz w:val="18"/>
                <w:szCs w:val="18"/>
                <w:lang w:val="en-US" w:eastAsia="zh-CN"/>
              </w:rPr>
              <w:t>60家的数量</w:t>
            </w:r>
            <w:r>
              <w:rPr>
                <w:rFonts w:hint="eastAsia" w:ascii="宋体" w:hAnsi="宋体" w:eastAsia="宋体" w:cs="宋体"/>
                <w:color w:val="auto"/>
                <w:kern w:val="0"/>
                <w:sz w:val="18"/>
                <w:szCs w:val="18"/>
                <w:lang w:val="en" w:eastAsia="zh-CN"/>
              </w:rPr>
              <w:t>补齐</w:t>
            </w:r>
            <w:r>
              <w:rPr>
                <w:rFonts w:hint="eastAsia" w:ascii="宋体" w:hAnsi="宋体" w:eastAsia="宋体" w:cs="宋体"/>
                <w:color w:val="auto"/>
                <w:kern w:val="0"/>
                <w:sz w:val="18"/>
                <w:szCs w:val="18"/>
                <w:lang w:val="en-US" w:eastAsia="zh-CN"/>
              </w:rPr>
              <w:t>）进入评审。</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（二）投标人数量没有达到60家时，全部进入。</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二、计算投标人投标报价得分（A）（权重为65-82%）</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（一）确定评审投标人</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1.计算平均值Pp</w:t>
            </w:r>
            <w:r>
              <w:rPr>
                <w:rFonts w:hint="eastAsia" w:ascii="宋体" w:hAnsi="宋体" w:eastAsia="宋体" w:cs="宋体"/>
                <w:color w:val="auto"/>
                <w:kern w:val="0"/>
                <w:sz w:val="18"/>
                <w:szCs w:val="18"/>
              </w:rPr>
              <w:t>：先剔除投标报价最高的20%家（有小数时按上限取整数以X表示）和最低的10%家（有小数时按上限取整数以Y表示），然后进行算术平均（剔除投标报价后的数量应等于计算算术平均的数量），计算得出投标人投标报价的平均值。</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当n≤10时，Pp＝∑Pi/n</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当n＞10时Pp＝（∑Pi-</w:t>
            </w:r>
            <w:r>
              <w:rPr>
                <w:rFonts w:ascii="宋体" w:hAnsi="宋体" w:eastAsia="宋体" w:cs="宋体"/>
                <w:color w:val="auto"/>
                <w:sz w:val="18"/>
                <w:szCs w:val="18"/>
              </w:rPr>
              <w:drawing>
                <wp:inline distT="0" distB="0" distL="0" distR="0">
                  <wp:extent cx="590550" cy="457200"/>
                  <wp:effectExtent l="0" t="0" r="0" b="0"/>
                  <wp:docPr id="86170058"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6170058" name="图片 6"/>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590550" cy="457200"/>
                          </a:xfrm>
                          <a:prstGeom prst="rect">
                            <a:avLst/>
                          </a:prstGeom>
                          <a:noFill/>
                          <a:ln>
                            <a:noFill/>
                          </a:ln>
                        </pic:spPr>
                      </pic:pic>
                    </a:graphicData>
                  </a:graphic>
                </wp:inline>
              </w:drawing>
            </w:r>
            <w:r>
              <w:rPr>
                <w:rFonts w:hint="eastAsia" w:ascii="宋体" w:hAnsi="宋体" w:eastAsia="宋体" w:cs="宋体"/>
                <w:color w:val="auto"/>
                <w:kern w:val="0"/>
                <w:sz w:val="18"/>
                <w:szCs w:val="18"/>
              </w:rPr>
              <w:t>-</w:t>
            </w:r>
            <w:r>
              <w:rPr>
                <w:rFonts w:ascii="宋体" w:hAnsi="宋体" w:eastAsia="宋体" w:cs="宋体"/>
                <w:color w:val="auto"/>
                <w:sz w:val="18"/>
                <w:szCs w:val="18"/>
              </w:rPr>
              <w:drawing>
                <wp:inline distT="0" distB="0" distL="0" distR="0">
                  <wp:extent cx="565150" cy="457200"/>
                  <wp:effectExtent l="0" t="0" r="6350" b="0"/>
                  <wp:docPr id="1615864067"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15864067" name="图片 5"/>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565150" cy="457200"/>
                          </a:xfrm>
                          <a:prstGeom prst="rect">
                            <a:avLst/>
                          </a:prstGeom>
                          <a:noFill/>
                          <a:ln>
                            <a:noFill/>
                          </a:ln>
                        </pic:spPr>
                      </pic:pic>
                    </a:graphicData>
                  </a:graphic>
                </wp:inline>
              </w:drawing>
            </w:r>
            <w:r>
              <w:rPr>
                <w:rFonts w:hint="eastAsia" w:ascii="宋体" w:hAnsi="宋体" w:eastAsia="宋体" w:cs="宋体"/>
                <w:color w:val="auto"/>
                <w:kern w:val="0"/>
                <w:sz w:val="18"/>
                <w:szCs w:val="18"/>
              </w:rPr>
              <w:t>）/(n-X-Y)；</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2.计算评标基准价Pg</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Pg=Pp×(1-Fg)</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Fg为投标竞争率。投标竞争率由招标人在招标文件中确定。投标竞争率可参照以下计取：房屋建筑工程为</w:t>
            </w:r>
            <w:r>
              <w:rPr>
                <w:rFonts w:hint="eastAsia" w:ascii="宋体" w:hAnsi="宋体" w:eastAsia="宋体" w:cs="宋体"/>
                <w:color w:val="auto"/>
                <w:kern w:val="0"/>
                <w:sz w:val="18"/>
                <w:szCs w:val="18"/>
                <w:lang w:val="en-US" w:eastAsia="zh-CN"/>
              </w:rPr>
              <w:t>1.80%</w:t>
            </w:r>
            <w:r>
              <w:rPr>
                <w:rFonts w:hint="eastAsia" w:ascii="宋体" w:hAnsi="宋体" w:eastAsia="宋体" w:cs="宋体"/>
                <w:color w:val="auto"/>
                <w:kern w:val="0"/>
                <w:sz w:val="18"/>
                <w:szCs w:val="18"/>
              </w:rPr>
              <w:t>；市政工程取值为</w:t>
            </w:r>
            <w:r>
              <w:rPr>
                <w:rFonts w:hint="eastAsia" w:ascii="宋体" w:hAnsi="宋体" w:eastAsia="宋体" w:cs="宋体"/>
                <w:color w:val="auto"/>
                <w:kern w:val="0"/>
                <w:sz w:val="18"/>
                <w:szCs w:val="18"/>
                <w:lang w:val="en-US" w:eastAsia="zh-CN"/>
              </w:rPr>
              <w:t>3.20%</w:t>
            </w:r>
            <w:r>
              <w:rPr>
                <w:rFonts w:hint="eastAsia" w:ascii="宋体" w:hAnsi="宋体" w:eastAsia="宋体" w:cs="宋体"/>
                <w:color w:val="auto"/>
                <w:kern w:val="0"/>
                <w:sz w:val="18"/>
                <w:szCs w:val="18"/>
              </w:rPr>
              <w:t>；专业工程取值为</w:t>
            </w:r>
            <w:r>
              <w:rPr>
                <w:rFonts w:hint="eastAsia" w:ascii="宋体" w:hAnsi="宋体" w:eastAsia="宋体" w:cs="宋体"/>
                <w:color w:val="auto"/>
                <w:kern w:val="0"/>
                <w:sz w:val="18"/>
                <w:szCs w:val="18"/>
                <w:lang w:val="en-US" w:eastAsia="zh-CN"/>
              </w:rPr>
              <w:t>3.50%</w:t>
            </w:r>
            <w:r>
              <w:rPr>
                <w:rFonts w:hint="eastAsia" w:ascii="宋体" w:hAnsi="宋体" w:eastAsia="宋体" w:cs="宋体"/>
                <w:color w:val="auto"/>
                <w:kern w:val="0"/>
                <w:sz w:val="18"/>
                <w:szCs w:val="18"/>
              </w:rPr>
              <w:t>；绿化种植工程取值为</w:t>
            </w:r>
            <w:r>
              <w:rPr>
                <w:rFonts w:hint="eastAsia" w:ascii="宋体" w:hAnsi="宋体" w:eastAsia="宋体" w:cs="宋体"/>
                <w:color w:val="auto"/>
                <w:kern w:val="0"/>
                <w:sz w:val="18"/>
                <w:szCs w:val="18"/>
                <w:lang w:val="en-US" w:eastAsia="zh-CN"/>
              </w:rPr>
              <w:t>5.00%</w:t>
            </w:r>
            <w:r>
              <w:rPr>
                <w:rFonts w:hint="eastAsia" w:ascii="宋体" w:hAnsi="宋体" w:eastAsia="宋体" w:cs="宋体"/>
                <w:color w:val="auto"/>
                <w:kern w:val="0"/>
                <w:sz w:val="18"/>
                <w:szCs w:val="18"/>
              </w:rPr>
              <w:t>；园建工程或综合园林工程取值为</w:t>
            </w:r>
            <w:r>
              <w:rPr>
                <w:rFonts w:hint="eastAsia" w:ascii="宋体" w:hAnsi="宋体" w:eastAsia="宋体" w:cs="宋体"/>
                <w:color w:val="auto"/>
                <w:kern w:val="0"/>
                <w:sz w:val="18"/>
                <w:szCs w:val="18"/>
                <w:lang w:val="en-US" w:eastAsia="zh-CN"/>
              </w:rPr>
              <w:t>1.50%</w:t>
            </w:r>
            <w:r>
              <w:rPr>
                <w:rFonts w:hint="eastAsia" w:ascii="宋体" w:hAnsi="宋体" w:eastAsia="宋体" w:cs="宋体"/>
                <w:color w:val="auto"/>
                <w:kern w:val="0"/>
                <w:sz w:val="18"/>
                <w:szCs w:val="18"/>
              </w:rPr>
              <w:t>。</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3.确定20家参与评审投标人</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以评标基准价Pg比较所有投标人的投标报价，将投标报价和评标基准价Pg差的绝对值从低至高进行排列，取前20家（不足20家时全部计算）进行评审。</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（二）计算投标人报价得分</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1.总报价得分（A1）（占投标报价权重25%）。</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以评标基准价Pg与入围的20家投标人的投标报价Pi进行对比，计算工程量清单总报价（A1）得分。</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仿宋" w:hAnsi="仿宋" w:eastAsia="仿宋" w:cs="宋体"/>
                <w:color w:val="auto"/>
                <w:kern w:val="0"/>
                <w:sz w:val="18"/>
                <w:szCs w:val="18"/>
              </w:rPr>
              <w:t>⑴</w:t>
            </w:r>
            <w:r>
              <w:rPr>
                <w:rFonts w:hint="eastAsia" w:ascii="宋体" w:hAnsi="宋体" w:eastAsia="宋体" w:cs="宋体"/>
                <w:color w:val="auto"/>
                <w:kern w:val="0"/>
                <w:sz w:val="18"/>
                <w:szCs w:val="18"/>
              </w:rPr>
              <w:t>投标报价Pi每高于评标基准价Pg的1%（含1%）扣1分。</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以满分25分为例，工程量清单总报价（A1）得分的计算公式为：</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A1＝25－[（Pi- Pg）/Pg]×100×1</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仿宋" w:hAnsi="仿宋" w:eastAsia="仿宋" w:cs="宋体"/>
                <w:color w:val="auto"/>
                <w:kern w:val="0"/>
                <w:sz w:val="18"/>
                <w:szCs w:val="18"/>
              </w:rPr>
              <w:t>⑵</w:t>
            </w:r>
            <w:r>
              <w:rPr>
                <w:rFonts w:hint="eastAsia" w:ascii="宋体" w:hAnsi="宋体" w:eastAsia="宋体" w:cs="宋体"/>
                <w:color w:val="auto"/>
                <w:kern w:val="0"/>
                <w:sz w:val="18"/>
                <w:szCs w:val="18"/>
              </w:rPr>
              <w:t>投标报价Pi每低于评标基准价Pg的1%（含1%）扣0.5分。</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以满分25分为例，工程量清单总报价（A1）得分的计算公式为：</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A1＝25－[（Pg- Pi）/Pg]×100×0.5</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2.分部分项工程量清单报价得分（A2）（占投标报价权重的45%）。</w:t>
            </w:r>
          </w:p>
          <w:p>
            <w:pPr>
              <w:widowControl/>
              <w:spacing w:before="100" w:beforeAutospacing="1" w:after="100" w:afterAutospacing="1" w:line="240" w:lineRule="auto"/>
              <w:ind w:firstLine="360"/>
              <w:jc w:val="left"/>
              <w:rPr>
                <w:rFonts w:hint="eastAsia" w:ascii="仿宋" w:hAnsi="仿宋" w:eastAsia="仿宋" w:cs="宋体"/>
                <w:color w:val="auto"/>
                <w:kern w:val="0"/>
                <w:sz w:val="18"/>
                <w:szCs w:val="18"/>
                <w:lang w:val="zh-CN" w:eastAsia="zh-CN"/>
              </w:rPr>
            </w:pPr>
            <w:r>
              <w:rPr>
                <w:rFonts w:hint="eastAsia" w:ascii="仿宋" w:hAnsi="仿宋" w:eastAsia="仿宋" w:cs="宋体"/>
                <w:color w:val="auto"/>
                <w:kern w:val="0"/>
                <w:sz w:val="18"/>
                <w:szCs w:val="18"/>
                <w:lang w:val="zh-CN" w:eastAsia="zh-CN"/>
              </w:rPr>
              <w:t>先按照各分部工程造价占招标控制价的比重从高至低确定</w:t>
            </w:r>
            <w:r>
              <w:rPr>
                <w:rFonts w:hint="eastAsia" w:ascii="仿宋" w:hAnsi="仿宋" w:eastAsia="仿宋" w:cs="宋体"/>
                <w:color w:val="auto"/>
                <w:kern w:val="0"/>
                <w:sz w:val="18"/>
                <w:szCs w:val="18"/>
                <w:lang w:val="en-US" w:eastAsia="zh-CN"/>
              </w:rPr>
              <w:t>5个分部工程，再从5个分部工程中抽取分部分项工程量清单综合合价占该分部工程造价的比重从高至低分别取6、5、4、3、2共20项工程量清单作为评审内容。5个确定的分部工程工程量清单不足以上规定数量的，按实际工程量清单列计。</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sz w:val="30"/>
                <w:szCs w:val="30"/>
                <w:lang w:val="en-US" w:eastAsia="zh-CN"/>
              </w:rPr>
            </w:pPr>
            <w:r>
              <w:rPr>
                <w:rFonts w:hint="eastAsia" w:ascii="仿宋" w:hAnsi="仿宋" w:eastAsia="仿宋" w:cs="宋体"/>
                <w:color w:val="auto"/>
                <w:kern w:val="0"/>
                <w:sz w:val="18"/>
                <w:szCs w:val="18"/>
                <w:lang w:val="en-US" w:eastAsia="zh-CN"/>
              </w:rPr>
              <w:t>评审标准先以评标基准价Pg与招标控制价对比计算下浮率；再以计算出来的下浮率修正招标控制价中对应的20项工程量清单的综合单价；再次以修正后的20项工程量清单的综合单价的+20%（含20%）计算的综合单价作为</w:t>
            </w:r>
            <w:r>
              <w:rPr>
                <w:rFonts w:hint="eastAsia" w:ascii="仿宋" w:hAnsi="仿宋" w:eastAsia="仿宋" w:cs="宋体"/>
                <w:color w:val="auto"/>
                <w:kern w:val="0"/>
                <w:sz w:val="18"/>
                <w:szCs w:val="18"/>
                <w:lang w:val="zh-CN" w:eastAsia="zh-CN"/>
              </w:rPr>
              <w:t>分部分项工程工程量清单</w:t>
            </w:r>
            <w:r>
              <w:rPr>
                <w:rFonts w:hint="eastAsia" w:ascii="仿宋" w:hAnsi="仿宋" w:eastAsia="仿宋" w:cs="宋体"/>
                <w:color w:val="auto"/>
                <w:kern w:val="0"/>
                <w:sz w:val="18"/>
                <w:szCs w:val="18"/>
                <w:lang w:val="en-US" w:eastAsia="zh-CN"/>
              </w:rPr>
              <w:t>最高投标限价（其中综合单价中的人工工资单价不得低于相应时期省住房和城乡建设厅发布的人工工资单价），超过+20%报价的得0分，该</w:t>
            </w:r>
            <w:r>
              <w:rPr>
                <w:rFonts w:hint="eastAsia" w:ascii="仿宋" w:hAnsi="仿宋" w:eastAsia="仿宋" w:cs="宋体"/>
                <w:color w:val="auto"/>
                <w:kern w:val="0"/>
                <w:sz w:val="18"/>
                <w:szCs w:val="18"/>
                <w:lang w:val="zh-CN" w:eastAsia="zh-CN"/>
              </w:rPr>
              <w:t>分部分项工程工程量清单报价不得参与算术平均值的计算。</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zh-CN" w:eastAsia="zh-CN"/>
              </w:rPr>
              <w:t>评审时将同一编号的综合单价去掉</w:t>
            </w:r>
            <w:r>
              <w:rPr>
                <w:rFonts w:hint="eastAsia" w:ascii="仿宋" w:hAnsi="仿宋" w:eastAsia="仿宋" w:cs="宋体"/>
                <w:color w:val="auto"/>
                <w:kern w:val="0"/>
                <w:sz w:val="18"/>
                <w:szCs w:val="18"/>
                <w:lang w:val="en-US" w:eastAsia="zh-CN"/>
              </w:rPr>
              <w:t>2</w:t>
            </w:r>
            <w:r>
              <w:rPr>
                <w:rFonts w:hint="eastAsia" w:ascii="仿宋" w:hAnsi="仿宋" w:eastAsia="仿宋" w:cs="宋体"/>
                <w:color w:val="auto"/>
                <w:kern w:val="0"/>
                <w:sz w:val="18"/>
                <w:szCs w:val="18"/>
                <w:lang w:val="zh-CN" w:eastAsia="zh-CN"/>
              </w:rPr>
              <w:t>个最高单价和</w:t>
            </w:r>
            <w:r>
              <w:rPr>
                <w:rFonts w:hint="eastAsia" w:ascii="仿宋" w:hAnsi="仿宋" w:eastAsia="仿宋" w:cs="宋体"/>
                <w:color w:val="auto"/>
                <w:kern w:val="0"/>
                <w:sz w:val="18"/>
                <w:szCs w:val="18"/>
                <w:lang w:val="en-US" w:eastAsia="zh-CN"/>
              </w:rPr>
              <w:t>1</w:t>
            </w:r>
            <w:r>
              <w:rPr>
                <w:rFonts w:hint="eastAsia" w:ascii="仿宋" w:hAnsi="仿宋" w:eastAsia="仿宋" w:cs="宋体"/>
                <w:color w:val="auto"/>
                <w:kern w:val="0"/>
                <w:sz w:val="18"/>
                <w:szCs w:val="18"/>
                <w:lang w:val="zh-CN" w:eastAsia="zh-CN"/>
              </w:rPr>
              <w:t>个最低单价的算术平均值作为该清单项目综合单价评标基准价（当≤7 家符合要求时，按算术平均值作为该清单项目综合单价评标基准价）</w:t>
            </w:r>
            <w:r>
              <w:rPr>
                <w:rFonts w:hint="eastAsia" w:ascii="仿宋" w:hAnsi="仿宋" w:eastAsia="仿宋" w:cs="宋体"/>
                <w:color w:val="auto"/>
                <w:kern w:val="0"/>
                <w:sz w:val="18"/>
                <w:szCs w:val="18"/>
                <w:lang w:val="en-US" w:eastAsia="zh-CN"/>
              </w:rPr>
              <w:t>。投标人分部分项工程量清单综合单价报价每高于或低于该清单项目</w:t>
            </w:r>
            <w:r>
              <w:rPr>
                <w:rFonts w:hint="eastAsia" w:ascii="仿宋" w:hAnsi="仿宋" w:eastAsia="仿宋" w:cs="宋体"/>
                <w:color w:val="auto"/>
                <w:kern w:val="0"/>
                <w:sz w:val="18"/>
                <w:szCs w:val="18"/>
                <w:lang w:val="zh-CN" w:eastAsia="zh-CN"/>
              </w:rPr>
              <w:t>综合单价</w:t>
            </w:r>
            <w:r>
              <w:rPr>
                <w:rFonts w:hint="eastAsia" w:ascii="仿宋" w:hAnsi="仿宋" w:eastAsia="仿宋" w:cs="宋体"/>
                <w:color w:val="auto"/>
                <w:kern w:val="0"/>
                <w:sz w:val="18"/>
                <w:szCs w:val="18"/>
                <w:lang w:val="en-US" w:eastAsia="zh-CN"/>
              </w:rPr>
              <w:t>评标基准价一定幅度扣相应分数，直到扣完所占分值为止（</w:t>
            </w:r>
            <w:r>
              <w:rPr>
                <w:rFonts w:hint="eastAsia" w:ascii="仿宋" w:hAnsi="仿宋" w:eastAsia="仿宋" w:cs="宋体"/>
                <w:color w:val="auto"/>
                <w:kern w:val="0"/>
                <w:sz w:val="18"/>
                <w:szCs w:val="18"/>
                <w:lang w:val="zh-CN" w:eastAsia="zh-CN"/>
              </w:rPr>
              <w:t>投标报价每高于评标基准价</w:t>
            </w:r>
            <w:r>
              <w:rPr>
                <w:rFonts w:hint="eastAsia" w:ascii="仿宋" w:hAnsi="仿宋" w:eastAsia="仿宋" w:cs="宋体"/>
                <w:color w:val="auto"/>
                <w:kern w:val="0"/>
                <w:sz w:val="18"/>
                <w:szCs w:val="18"/>
                <w:lang w:val="en-US" w:eastAsia="zh-CN"/>
              </w:rPr>
              <w:t>1%（含1%）扣0.5分，投标报价每低于评标基准价1%（含1%）扣0.2分）。每条清单的得分以该分部分项工程</w:t>
            </w:r>
            <w:r>
              <w:rPr>
                <w:rFonts w:hint="eastAsia" w:ascii="仿宋" w:hAnsi="仿宋" w:eastAsia="仿宋" w:cs="宋体"/>
                <w:color w:val="auto"/>
                <w:kern w:val="0"/>
                <w:sz w:val="18"/>
                <w:szCs w:val="18"/>
                <w:lang w:val="zh-CN" w:eastAsia="zh-CN"/>
              </w:rPr>
              <w:t>量清单的计算得分除以清单数量计算（保留小数点后两位），</w:t>
            </w:r>
            <w:r>
              <w:rPr>
                <w:rFonts w:hint="eastAsia" w:ascii="仿宋" w:hAnsi="仿宋" w:eastAsia="仿宋" w:cs="宋体"/>
                <w:color w:val="auto"/>
                <w:kern w:val="0"/>
                <w:sz w:val="18"/>
                <w:szCs w:val="18"/>
                <w:lang w:val="en-US" w:eastAsia="zh-CN"/>
              </w:rPr>
              <w:t>以每条清单2分为例，计算每条清单项目的得分</w:t>
            </w:r>
            <w:r>
              <w:rPr>
                <w:rFonts w:hint="eastAsia" w:ascii="仿宋" w:hAnsi="仿宋" w:eastAsia="仿宋" w:cs="宋体"/>
                <w:color w:val="auto"/>
                <w:kern w:val="0"/>
                <w:sz w:val="18"/>
                <w:szCs w:val="18"/>
                <w:lang w:val="en" w:eastAsia="zh-CN"/>
              </w:rPr>
              <w:t>a2</w:t>
            </w:r>
            <w:r>
              <w:rPr>
                <w:rFonts w:hint="eastAsia" w:ascii="仿宋" w:hAnsi="仿宋" w:eastAsia="仿宋" w:cs="宋体"/>
                <w:color w:val="auto"/>
                <w:kern w:val="0"/>
                <w:sz w:val="18"/>
                <w:szCs w:val="18"/>
                <w:lang w:val="en-US" w:eastAsia="zh-CN"/>
              </w:rPr>
              <w:t>的公式为：</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当投标人报价的工程量清单综合单价 &gt; 评标基准价时：</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 w:eastAsia="zh-CN"/>
              </w:rPr>
              <w:t>a2</w:t>
            </w:r>
            <w:r>
              <w:rPr>
                <w:rFonts w:hint="eastAsia" w:ascii="仿宋" w:hAnsi="仿宋" w:eastAsia="仿宋" w:cs="宋体"/>
                <w:color w:val="auto"/>
                <w:kern w:val="0"/>
                <w:sz w:val="18"/>
                <w:szCs w:val="18"/>
                <w:lang w:val="en-US" w:eastAsia="zh-CN"/>
              </w:rPr>
              <w:t>＝2－[（工程量清单综合单价- 评标基准价）/ 评标基准价]×100×0.5。</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sz w:val="30"/>
                <w:szCs w:val="30"/>
                <w:lang w:val="en-US" w:eastAsia="zh-CN"/>
              </w:rPr>
            </w:pPr>
            <w:r>
              <w:rPr>
                <w:rFonts w:hint="eastAsia" w:ascii="仿宋" w:hAnsi="仿宋" w:eastAsia="仿宋" w:cs="宋体"/>
                <w:color w:val="auto"/>
                <w:kern w:val="0"/>
                <w:sz w:val="18"/>
                <w:szCs w:val="18"/>
                <w:lang w:val="en-US" w:eastAsia="zh-CN"/>
              </w:rPr>
              <w:t>当投标人报价的工程量清单综合单价 &lt; 评标基准价时：</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 w:eastAsia="zh-CN"/>
              </w:rPr>
              <w:t>a2</w:t>
            </w:r>
            <w:r>
              <w:rPr>
                <w:rFonts w:hint="eastAsia" w:ascii="仿宋" w:hAnsi="仿宋" w:eastAsia="仿宋" w:cs="宋体"/>
                <w:color w:val="auto"/>
                <w:kern w:val="0"/>
                <w:sz w:val="18"/>
                <w:szCs w:val="18"/>
                <w:lang w:val="en-US" w:eastAsia="zh-CN"/>
              </w:rPr>
              <w:t>＝2－[（评标基准价-工程量清单综合单价）/评标基准价]×100×0.2。</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 xml:space="preserve">  分部分项工程量清单报价（A2）得分：</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微软雅黑" w:hAnsi="微软雅黑" w:eastAsia="微软雅黑" w:cs="宋体"/>
                <w:color w:val="auto"/>
                <w:kern w:val="0"/>
                <w:sz w:val="21"/>
                <w:szCs w:val="21"/>
              </w:rPr>
            </w:pPr>
            <w:r>
              <w:rPr>
                <w:rFonts w:hint="eastAsia" w:ascii="仿宋" w:hAnsi="仿宋" w:eastAsia="仿宋" w:cs="宋体"/>
                <w:color w:val="auto"/>
                <w:kern w:val="0"/>
                <w:sz w:val="18"/>
                <w:szCs w:val="18"/>
                <w:lang w:val="en-US" w:eastAsia="zh-CN"/>
              </w:rPr>
              <w:t>A2=∑</w:t>
            </w:r>
            <w:r>
              <w:rPr>
                <w:rFonts w:hint="eastAsia" w:ascii="仿宋" w:hAnsi="仿宋" w:eastAsia="仿宋" w:cs="宋体"/>
                <w:color w:val="auto"/>
                <w:kern w:val="0"/>
                <w:sz w:val="18"/>
                <w:szCs w:val="18"/>
                <w:lang w:val="en" w:eastAsia="zh-CN"/>
              </w:rPr>
              <w:t>a2</w:t>
            </w:r>
            <w:r>
              <w:rPr>
                <w:rFonts w:hint="eastAsia" w:ascii="仿宋" w:hAnsi="仿宋" w:eastAsia="仿宋" w:cs="宋体"/>
                <w:color w:val="auto"/>
                <w:kern w:val="0"/>
                <w:sz w:val="18"/>
                <w:szCs w:val="18"/>
                <w:lang w:val="en-US" w:eastAsia="zh-CN"/>
              </w:rPr>
              <w:t xml:space="preserve"> </w:t>
            </w:r>
          </w:p>
          <w:p>
            <w:pPr>
              <w:widowControl/>
              <w:spacing w:before="100" w:beforeAutospacing="1" w:after="100" w:afterAutospacing="1" w:line="240" w:lineRule="auto"/>
              <w:ind w:firstLine="180" w:firstLineChars="100"/>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 ⑶主要材料报价得分（A3）（占投标报价权重30%）。</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sz w:val="30"/>
                <w:szCs w:val="30"/>
                <w:lang w:val="en-US" w:eastAsia="zh-CN"/>
              </w:rPr>
            </w:pPr>
            <w:r>
              <w:rPr>
                <w:rFonts w:hint="eastAsia" w:ascii="仿宋" w:hAnsi="仿宋" w:eastAsia="仿宋" w:cs="宋体"/>
                <w:color w:val="auto"/>
                <w:kern w:val="0"/>
                <w:sz w:val="18"/>
                <w:szCs w:val="18"/>
                <w:lang w:val="zh-CN" w:eastAsia="zh-CN"/>
              </w:rPr>
              <w:t>按各主要材料费占全部材料费比重，从高至低计取</w:t>
            </w:r>
            <w:r>
              <w:rPr>
                <w:rFonts w:hint="eastAsia" w:ascii="仿宋" w:hAnsi="仿宋" w:eastAsia="仿宋" w:cs="宋体"/>
                <w:color w:val="auto"/>
                <w:kern w:val="0"/>
                <w:sz w:val="18"/>
                <w:szCs w:val="18"/>
                <w:lang w:val="en-US" w:eastAsia="zh-CN"/>
              </w:rPr>
              <w:t>20</w:t>
            </w:r>
            <w:r>
              <w:rPr>
                <w:rFonts w:hint="eastAsia" w:ascii="仿宋" w:hAnsi="仿宋" w:eastAsia="仿宋" w:cs="宋体"/>
                <w:color w:val="auto"/>
                <w:kern w:val="0"/>
                <w:sz w:val="18"/>
                <w:szCs w:val="18"/>
                <w:lang w:val="zh-CN" w:eastAsia="zh-CN"/>
              </w:rPr>
              <w:t>项不同类型的主要材料（同类型材料中只取比重最大的一项），作为评审内</w:t>
            </w:r>
            <w:r>
              <w:rPr>
                <w:rFonts w:hint="eastAsia" w:ascii="仿宋" w:hAnsi="仿宋" w:eastAsia="仿宋" w:cs="宋体"/>
                <w:color w:val="auto"/>
                <w:kern w:val="0"/>
                <w:sz w:val="18"/>
                <w:szCs w:val="18"/>
                <w:lang w:val="en-US" w:eastAsia="zh-CN"/>
              </w:rPr>
              <w:t>容。不足20项时，按实际主要材料列计。</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sz w:val="30"/>
                <w:szCs w:val="30"/>
                <w:lang w:val="en-US" w:eastAsia="zh-CN"/>
              </w:rPr>
            </w:pPr>
            <w:r>
              <w:rPr>
                <w:rFonts w:hint="eastAsia" w:ascii="仿宋" w:hAnsi="仿宋" w:eastAsia="仿宋" w:cs="宋体"/>
                <w:color w:val="auto"/>
                <w:kern w:val="0"/>
                <w:sz w:val="18"/>
                <w:szCs w:val="18"/>
                <w:lang w:val="en-US" w:eastAsia="zh-CN"/>
              </w:rPr>
              <w:t>评审标准先以评标基准价Pg与招标控制价对比计算下浮率；再以计算出来的下浮率修正招标控制价中对应的20项主要材料价格；再次以修正后的20项主要材料价格的+20%（含20%）计算的单价作为主要材料最高投标限价，超过+20%报价的得0分，该主要材料报价</w:t>
            </w:r>
            <w:r>
              <w:rPr>
                <w:rFonts w:hint="eastAsia" w:ascii="仿宋" w:hAnsi="仿宋" w:eastAsia="仿宋" w:cs="宋体"/>
                <w:color w:val="auto"/>
                <w:kern w:val="0"/>
                <w:sz w:val="18"/>
                <w:szCs w:val="18"/>
                <w:lang w:val="zh-CN" w:eastAsia="zh-CN"/>
              </w:rPr>
              <w:t>不得参与算术平均值的计算。</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zh-CN" w:eastAsia="zh-CN"/>
              </w:rPr>
              <w:t>评审时将</w:t>
            </w:r>
            <w:r>
              <w:rPr>
                <w:rFonts w:hint="eastAsia" w:ascii="仿宋" w:hAnsi="仿宋" w:eastAsia="仿宋" w:cs="宋体"/>
                <w:color w:val="auto"/>
                <w:kern w:val="0"/>
                <w:sz w:val="18"/>
                <w:szCs w:val="18"/>
                <w:lang w:val="en-US" w:eastAsia="zh-CN"/>
              </w:rPr>
              <w:t>20项主要材料单价同一编号中去掉2个最高报价和1个最低报价后的算术平均值作为该主要材料单价评标基准价</w:t>
            </w:r>
            <w:r>
              <w:rPr>
                <w:rFonts w:hint="eastAsia" w:ascii="仿宋" w:hAnsi="仿宋" w:eastAsia="仿宋" w:cs="宋体"/>
                <w:color w:val="auto"/>
                <w:kern w:val="0"/>
                <w:sz w:val="18"/>
                <w:szCs w:val="18"/>
                <w:lang w:val="zh-CN" w:eastAsia="zh-CN"/>
              </w:rPr>
              <w:t>（当≤7 家符合要求时，按算术平均值作为该清单项目综合单价评标基准价）</w:t>
            </w:r>
            <w:r>
              <w:rPr>
                <w:rFonts w:hint="eastAsia" w:ascii="仿宋" w:hAnsi="仿宋" w:eastAsia="仿宋" w:cs="宋体"/>
                <w:color w:val="auto"/>
                <w:kern w:val="0"/>
                <w:sz w:val="18"/>
                <w:szCs w:val="18"/>
                <w:lang w:val="en-US" w:eastAsia="zh-CN"/>
              </w:rPr>
              <w:t>。投标人主要材料单价每高于或低于该主要材料</w:t>
            </w:r>
            <w:r>
              <w:rPr>
                <w:rFonts w:hint="eastAsia" w:ascii="仿宋" w:hAnsi="仿宋" w:eastAsia="仿宋" w:cs="宋体"/>
                <w:color w:val="auto"/>
                <w:kern w:val="0"/>
                <w:sz w:val="18"/>
                <w:szCs w:val="18"/>
                <w:lang w:val="zh-CN" w:eastAsia="zh-CN"/>
              </w:rPr>
              <w:t>单价</w:t>
            </w:r>
            <w:r>
              <w:rPr>
                <w:rFonts w:hint="eastAsia" w:ascii="仿宋" w:hAnsi="仿宋" w:eastAsia="仿宋" w:cs="宋体"/>
                <w:color w:val="auto"/>
                <w:kern w:val="0"/>
                <w:sz w:val="18"/>
                <w:szCs w:val="18"/>
                <w:lang w:val="en-US" w:eastAsia="zh-CN"/>
              </w:rPr>
              <w:t>评标基准价一定幅度时扣相应分数，直到扣完所占分值为止（</w:t>
            </w:r>
            <w:r>
              <w:rPr>
                <w:rFonts w:hint="eastAsia" w:ascii="仿宋" w:hAnsi="仿宋" w:eastAsia="仿宋" w:cs="宋体"/>
                <w:color w:val="auto"/>
                <w:kern w:val="0"/>
                <w:sz w:val="18"/>
                <w:szCs w:val="18"/>
                <w:lang w:val="zh-CN" w:eastAsia="zh-CN"/>
              </w:rPr>
              <w:t>投标人主要材料单价每高于评标基准价</w:t>
            </w:r>
            <w:r>
              <w:rPr>
                <w:rFonts w:hint="eastAsia" w:ascii="仿宋" w:hAnsi="仿宋" w:eastAsia="仿宋" w:cs="宋体"/>
                <w:color w:val="auto"/>
                <w:kern w:val="0"/>
                <w:sz w:val="18"/>
                <w:szCs w:val="18"/>
                <w:lang w:val="en-US" w:eastAsia="zh-CN"/>
              </w:rPr>
              <w:t>1%（含1%）扣0.5分，投标人主要材料单价每低于评标基准价1%（含1%）扣0.2分）。每项主要材料的得分以该主要材料计算得分除以主要材料项数计算（保留小数点后两位），以每条主要材料2分为例，计算每条主要材料的得分</w:t>
            </w:r>
            <w:r>
              <w:rPr>
                <w:rFonts w:hint="eastAsia" w:ascii="仿宋" w:hAnsi="仿宋" w:eastAsia="仿宋" w:cs="宋体"/>
                <w:color w:val="auto"/>
                <w:kern w:val="0"/>
                <w:sz w:val="18"/>
                <w:szCs w:val="18"/>
                <w:lang w:val="en" w:eastAsia="zh-CN"/>
              </w:rPr>
              <w:t>a</w:t>
            </w:r>
            <w:r>
              <w:rPr>
                <w:rFonts w:hint="eastAsia" w:ascii="仿宋" w:hAnsi="仿宋" w:eastAsia="仿宋" w:cs="宋体"/>
                <w:color w:val="auto"/>
                <w:kern w:val="0"/>
                <w:sz w:val="18"/>
                <w:szCs w:val="18"/>
                <w:lang w:val="en-US" w:eastAsia="zh-CN"/>
              </w:rPr>
              <w:t>3的公式为：</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当投标人主要材料单价 &gt; 评标基准价时：</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zh-CN" w:eastAsia="zh-CN"/>
              </w:rPr>
            </w:pPr>
            <w:r>
              <w:rPr>
                <w:rFonts w:hint="eastAsia" w:ascii="仿宋" w:hAnsi="仿宋" w:eastAsia="仿宋" w:cs="宋体"/>
                <w:color w:val="auto"/>
                <w:kern w:val="0"/>
                <w:sz w:val="18"/>
                <w:szCs w:val="18"/>
                <w:lang w:val="en" w:eastAsia="zh-CN"/>
              </w:rPr>
              <w:t>a</w:t>
            </w:r>
            <w:r>
              <w:rPr>
                <w:rFonts w:hint="eastAsia" w:ascii="仿宋" w:hAnsi="仿宋" w:eastAsia="仿宋" w:cs="宋体"/>
                <w:color w:val="auto"/>
                <w:kern w:val="0"/>
                <w:sz w:val="18"/>
                <w:szCs w:val="18"/>
                <w:lang w:val="en-US" w:eastAsia="zh-CN"/>
              </w:rPr>
              <w:t>3</w:t>
            </w:r>
            <w:r>
              <w:rPr>
                <w:rFonts w:hint="eastAsia" w:ascii="仿宋" w:hAnsi="仿宋" w:eastAsia="仿宋" w:cs="宋体"/>
                <w:color w:val="auto"/>
                <w:kern w:val="0"/>
                <w:sz w:val="18"/>
                <w:szCs w:val="18"/>
                <w:lang w:val="zh-CN" w:eastAsia="zh-CN"/>
              </w:rPr>
              <w:t>＝</w:t>
            </w:r>
            <w:r>
              <w:rPr>
                <w:rFonts w:hint="eastAsia" w:ascii="仿宋" w:hAnsi="仿宋" w:eastAsia="仿宋" w:cs="宋体"/>
                <w:color w:val="auto"/>
                <w:kern w:val="0"/>
                <w:sz w:val="18"/>
                <w:szCs w:val="18"/>
                <w:lang w:val="en-US" w:eastAsia="zh-CN"/>
              </w:rPr>
              <w:t>2</w:t>
            </w:r>
            <w:r>
              <w:rPr>
                <w:rFonts w:hint="eastAsia" w:ascii="仿宋" w:hAnsi="仿宋" w:eastAsia="仿宋" w:cs="宋体"/>
                <w:color w:val="auto"/>
                <w:kern w:val="0"/>
                <w:sz w:val="18"/>
                <w:szCs w:val="18"/>
                <w:lang w:val="zh-CN" w:eastAsia="zh-CN"/>
              </w:rPr>
              <w:t>－[（投标人主要材料单价-评标基准价）/ 评标基准价]×100×</w:t>
            </w:r>
            <w:r>
              <w:rPr>
                <w:rFonts w:hint="eastAsia" w:ascii="仿宋" w:hAnsi="仿宋" w:eastAsia="仿宋" w:cs="宋体"/>
                <w:color w:val="auto"/>
                <w:kern w:val="0"/>
                <w:sz w:val="18"/>
                <w:szCs w:val="18"/>
                <w:lang w:val="en-US" w:eastAsia="zh-CN"/>
              </w:rPr>
              <w:t>0.5</w:t>
            </w:r>
            <w:r>
              <w:rPr>
                <w:rFonts w:hint="eastAsia" w:ascii="仿宋" w:hAnsi="仿宋" w:eastAsia="仿宋" w:cs="宋体"/>
                <w:color w:val="auto"/>
                <w:kern w:val="0"/>
                <w:sz w:val="18"/>
                <w:szCs w:val="18"/>
                <w:lang w:val="zh-CN" w:eastAsia="zh-CN"/>
              </w:rPr>
              <w:t>。</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zh-CN" w:eastAsia="zh-CN"/>
              </w:rPr>
            </w:pPr>
            <w:r>
              <w:rPr>
                <w:rFonts w:hint="eastAsia" w:ascii="仿宋" w:hAnsi="仿宋" w:eastAsia="仿宋" w:cs="宋体"/>
                <w:color w:val="auto"/>
                <w:kern w:val="0"/>
                <w:sz w:val="18"/>
                <w:szCs w:val="18"/>
                <w:lang w:val="zh-CN" w:eastAsia="zh-CN"/>
              </w:rPr>
              <w:t>当投标人主要材料单价 &lt; 评标基准价时：</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zh-CN" w:eastAsia="zh-CN"/>
              </w:rPr>
            </w:pPr>
            <w:r>
              <w:rPr>
                <w:rFonts w:hint="eastAsia" w:ascii="仿宋" w:hAnsi="仿宋" w:eastAsia="仿宋" w:cs="宋体"/>
                <w:color w:val="auto"/>
                <w:kern w:val="0"/>
                <w:sz w:val="18"/>
                <w:szCs w:val="18"/>
                <w:lang w:val="en" w:eastAsia="zh-CN"/>
              </w:rPr>
              <w:t>a</w:t>
            </w:r>
            <w:r>
              <w:rPr>
                <w:rFonts w:hint="eastAsia" w:ascii="仿宋" w:hAnsi="仿宋" w:eastAsia="仿宋" w:cs="宋体"/>
                <w:color w:val="auto"/>
                <w:kern w:val="0"/>
                <w:sz w:val="18"/>
                <w:szCs w:val="18"/>
                <w:lang w:val="en-US" w:eastAsia="zh-CN"/>
              </w:rPr>
              <w:t>3</w:t>
            </w:r>
            <w:r>
              <w:rPr>
                <w:rFonts w:hint="eastAsia" w:ascii="仿宋" w:hAnsi="仿宋" w:eastAsia="仿宋" w:cs="宋体"/>
                <w:color w:val="auto"/>
                <w:kern w:val="0"/>
                <w:sz w:val="18"/>
                <w:szCs w:val="18"/>
                <w:lang w:val="zh-CN" w:eastAsia="zh-CN"/>
              </w:rPr>
              <w:t>＝</w:t>
            </w:r>
            <w:r>
              <w:rPr>
                <w:rFonts w:hint="eastAsia" w:ascii="仿宋" w:hAnsi="仿宋" w:eastAsia="仿宋" w:cs="宋体"/>
                <w:color w:val="auto"/>
                <w:kern w:val="0"/>
                <w:sz w:val="18"/>
                <w:szCs w:val="18"/>
                <w:lang w:val="en-US" w:eastAsia="zh-CN"/>
              </w:rPr>
              <w:t>2</w:t>
            </w:r>
            <w:r>
              <w:rPr>
                <w:rFonts w:hint="eastAsia" w:ascii="仿宋" w:hAnsi="仿宋" w:eastAsia="仿宋" w:cs="宋体"/>
                <w:color w:val="auto"/>
                <w:kern w:val="0"/>
                <w:sz w:val="18"/>
                <w:szCs w:val="18"/>
                <w:lang w:val="zh-CN" w:eastAsia="zh-CN"/>
              </w:rPr>
              <w:t>－[（评标基准价-投标人主要材料单价）/评标基准价]×100×</w:t>
            </w:r>
            <w:r>
              <w:rPr>
                <w:rFonts w:hint="eastAsia" w:ascii="仿宋" w:hAnsi="仿宋" w:eastAsia="仿宋" w:cs="宋体"/>
                <w:color w:val="auto"/>
                <w:kern w:val="0"/>
                <w:sz w:val="18"/>
                <w:szCs w:val="18"/>
                <w:lang w:val="en-US" w:eastAsia="zh-CN"/>
              </w:rPr>
              <w:t>0.2</w:t>
            </w:r>
            <w:r>
              <w:rPr>
                <w:rFonts w:hint="eastAsia" w:ascii="仿宋" w:hAnsi="仿宋" w:eastAsia="仿宋" w:cs="宋体"/>
                <w:color w:val="auto"/>
                <w:kern w:val="0"/>
                <w:sz w:val="18"/>
                <w:szCs w:val="18"/>
                <w:lang w:val="zh-CN" w:eastAsia="zh-CN"/>
              </w:rPr>
              <w:t>。</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仿宋" w:hAnsi="仿宋" w:eastAsia="仿宋" w:cs="宋体"/>
                <w:color w:val="auto"/>
                <w:kern w:val="0"/>
                <w:sz w:val="18"/>
                <w:szCs w:val="18"/>
                <w:lang w:val="zh-CN" w:eastAsia="zh-CN"/>
              </w:rPr>
            </w:pPr>
            <w:r>
              <w:rPr>
                <w:rFonts w:hint="eastAsia" w:ascii="仿宋" w:hAnsi="仿宋" w:eastAsia="仿宋" w:cs="宋体"/>
                <w:color w:val="auto"/>
                <w:kern w:val="0"/>
                <w:sz w:val="18"/>
                <w:szCs w:val="18"/>
                <w:lang w:val="zh-CN" w:eastAsia="zh-CN"/>
              </w:rPr>
              <w:t>主要材料报价（</w:t>
            </w:r>
            <w:r>
              <w:rPr>
                <w:rFonts w:hint="eastAsia" w:ascii="仿宋" w:hAnsi="仿宋" w:eastAsia="仿宋" w:cs="宋体"/>
                <w:color w:val="auto"/>
                <w:kern w:val="0"/>
                <w:sz w:val="18"/>
                <w:szCs w:val="18"/>
                <w:lang w:val="en-US" w:eastAsia="zh-CN"/>
              </w:rPr>
              <w:t>A3</w:t>
            </w:r>
            <w:r>
              <w:rPr>
                <w:rFonts w:hint="eastAsia" w:ascii="仿宋" w:hAnsi="仿宋" w:eastAsia="仿宋" w:cs="宋体"/>
                <w:color w:val="auto"/>
                <w:kern w:val="0"/>
                <w:sz w:val="18"/>
                <w:szCs w:val="18"/>
                <w:lang w:val="zh-CN" w:eastAsia="zh-CN"/>
              </w:rPr>
              <w:t>）得分：</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微软雅黑" w:hAnsi="微软雅黑" w:eastAsia="微软雅黑" w:cs="宋体"/>
                <w:color w:val="auto"/>
                <w:kern w:val="0"/>
                <w:sz w:val="21"/>
                <w:szCs w:val="21"/>
              </w:rPr>
            </w:pPr>
            <w:r>
              <w:rPr>
                <w:rFonts w:hint="eastAsia" w:ascii="仿宋" w:hAnsi="仿宋" w:eastAsia="仿宋" w:cs="宋体"/>
                <w:color w:val="auto"/>
                <w:kern w:val="0"/>
                <w:sz w:val="18"/>
                <w:szCs w:val="18"/>
                <w:lang w:val="en-US" w:eastAsia="zh-CN"/>
              </w:rPr>
              <w:t>A3</w:t>
            </w:r>
            <w:r>
              <w:rPr>
                <w:rFonts w:hint="eastAsia" w:ascii="仿宋" w:hAnsi="仿宋" w:eastAsia="仿宋" w:cs="宋体"/>
                <w:color w:val="auto"/>
                <w:kern w:val="0"/>
                <w:sz w:val="18"/>
                <w:szCs w:val="18"/>
                <w:lang w:val="zh-CN" w:eastAsia="zh-CN"/>
              </w:rPr>
              <w:t>=∑</w:t>
            </w:r>
            <w:r>
              <w:rPr>
                <w:rFonts w:hint="eastAsia" w:ascii="仿宋" w:hAnsi="仿宋" w:eastAsia="仿宋" w:cs="宋体"/>
                <w:color w:val="auto"/>
                <w:kern w:val="0"/>
                <w:sz w:val="18"/>
                <w:szCs w:val="18"/>
                <w:lang w:val="en" w:eastAsia="zh-CN"/>
              </w:rPr>
              <w:t>a</w:t>
            </w:r>
            <w:r>
              <w:rPr>
                <w:rFonts w:hint="eastAsia" w:ascii="仿宋" w:hAnsi="仿宋" w:eastAsia="仿宋" w:cs="宋体"/>
                <w:color w:val="auto"/>
                <w:kern w:val="0"/>
                <w:sz w:val="18"/>
                <w:szCs w:val="18"/>
                <w:lang w:val="en-US" w:eastAsia="zh-CN"/>
              </w:rPr>
              <w:t>3</w:t>
            </w:r>
            <w:r>
              <w:rPr>
                <w:rFonts w:hint="eastAsia" w:ascii="仿宋" w:hAnsi="仿宋" w:eastAsia="仿宋" w:cs="宋体"/>
                <w:color w:val="auto"/>
                <w:kern w:val="0"/>
                <w:sz w:val="18"/>
                <w:szCs w:val="18"/>
                <w:lang w:val="zh-CN" w:eastAsia="zh-CN"/>
              </w:rPr>
              <w:t xml:space="preserve"> </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（三）计算投标报价得分，A=A1+A2+A3</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三、计算企业诚信评价得分（B）（权重为8-17%）</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一）计算企业诚信评价等级为A级的投标人得分（按权重的85%-100%，不含85%）：投标人排名最高的得该权重计算得分的最高分，相同评价等级中排名最低的投标人得该权重计算得分的最低分，其他相同企业诚信评价等级的投标人得分按直线内插法计算得分，计算B1;</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（二）计算企业诚信评价等级为B级的投标人得分（</w:t>
            </w:r>
            <w:r>
              <w:rPr>
                <w:rFonts w:hint="eastAsia" w:ascii="宋体" w:hAnsi="宋体" w:eastAsia="宋体" w:cs="宋体"/>
                <w:color w:val="auto"/>
                <w:kern w:val="0"/>
                <w:sz w:val="18"/>
                <w:szCs w:val="18"/>
                <w:lang w:val="en-US" w:eastAsia="zh-CN"/>
              </w:rPr>
              <w:t>按权重的70%-85%，不含70%</w:t>
            </w:r>
            <w:r>
              <w:rPr>
                <w:rFonts w:hint="eastAsia" w:ascii="宋体" w:hAnsi="宋体" w:eastAsia="宋体" w:cs="宋体"/>
                <w:color w:val="auto"/>
                <w:kern w:val="0"/>
                <w:sz w:val="18"/>
                <w:szCs w:val="18"/>
              </w:rPr>
              <w:t>）:投标人排名最高的得该权重计算得分的最高分，相同评价等级中排名最低的投标人得该权重计算得分的最低分，其他相同企业诚信评价等级的投标人得分按直线内插法计算得分，计算B2;</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（三）计算企业诚信评价等级为C级的投标人得分（</w:t>
            </w:r>
            <w:r>
              <w:rPr>
                <w:rFonts w:hint="eastAsia" w:ascii="宋体" w:hAnsi="宋体" w:eastAsia="宋体" w:cs="宋体"/>
                <w:color w:val="auto"/>
                <w:kern w:val="0"/>
                <w:sz w:val="18"/>
                <w:szCs w:val="18"/>
                <w:lang w:val="en-US" w:eastAsia="zh-CN"/>
              </w:rPr>
              <w:t>按权重的60%-70%，不含60%</w:t>
            </w:r>
            <w:r>
              <w:rPr>
                <w:rFonts w:hint="eastAsia" w:ascii="宋体" w:hAnsi="宋体" w:eastAsia="宋体" w:cs="宋体"/>
                <w:color w:val="auto"/>
                <w:kern w:val="0"/>
                <w:sz w:val="18"/>
                <w:szCs w:val="18"/>
              </w:rPr>
              <w:t>）:投标人排名最高的得该权重计算得分的最高分，相同评价等级中排名最低的投标人得该权重计算得分的最低分，其他相同企业诚信评价等级的投标人得分按直线内插法计算得分，计算B3。</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（四）计算企业诚信评价等级为D级的投标人得分（</w:t>
            </w:r>
            <w:r>
              <w:rPr>
                <w:rFonts w:hint="eastAsia" w:ascii="宋体" w:hAnsi="宋体" w:eastAsia="宋体" w:cs="宋体"/>
                <w:color w:val="auto"/>
                <w:kern w:val="0"/>
                <w:sz w:val="18"/>
                <w:szCs w:val="18"/>
                <w:lang w:val="en-US" w:eastAsia="zh-CN"/>
              </w:rPr>
              <w:t>按权重的40%-60%，不含40%</w:t>
            </w:r>
            <w:r>
              <w:rPr>
                <w:rFonts w:hint="eastAsia" w:ascii="宋体" w:hAnsi="宋体" w:eastAsia="宋体" w:cs="宋体"/>
                <w:color w:val="auto"/>
                <w:kern w:val="0"/>
                <w:sz w:val="18"/>
                <w:szCs w:val="18"/>
              </w:rPr>
              <w:t>）:投标人排名最高的得该权重计算得分的最高分，相同评价等级中排名最低的投标人得该权重计算得分的最低分，其他相同企业诚信评价等级的投标人得分按直线内插法计算得分，计算B4。</w:t>
            </w:r>
          </w:p>
          <w:p>
            <w:pPr>
              <w:widowControl/>
              <w:spacing w:before="100" w:beforeAutospacing="1" w:after="100" w:afterAutospacing="1" w:line="240" w:lineRule="auto"/>
              <w:ind w:firstLine="36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（五）企业诚信评价等级为其他等级的均得0分。</w:t>
            </w:r>
          </w:p>
          <w:p>
            <w:pPr>
              <w:widowControl/>
              <w:spacing w:before="100" w:beforeAutospacing="1" w:after="100" w:afterAutospacing="1" w:line="240" w:lineRule="auto"/>
              <w:ind w:firstLine="360"/>
              <w:jc w:val="left"/>
              <w:rPr>
                <w:rFonts w:hint="eastAsia" w:ascii="宋体" w:hAnsi="宋体" w:eastAsia="宋体" w:cs="宋体"/>
                <w:color w:val="auto"/>
                <w:kern w:val="0"/>
                <w:sz w:val="18"/>
                <w:szCs w:val="18"/>
                <w:lang w:val="en" w:eastAsia="zh-CN"/>
              </w:rPr>
            </w:pPr>
            <w:r>
              <w:rPr>
                <w:rFonts w:hint="eastAsia" w:ascii="宋体" w:hAnsi="宋体" w:eastAsia="宋体" w:cs="宋体"/>
                <w:color w:val="auto"/>
                <w:kern w:val="0"/>
                <w:sz w:val="18"/>
                <w:szCs w:val="18"/>
                <w:lang w:val="en" w:eastAsia="zh-CN"/>
              </w:rPr>
              <w:t>（六）联合体的诚信得分按各联合体成员诚信得分的算术平均值计算。</w:t>
            </w:r>
          </w:p>
          <w:p>
            <w:pPr>
              <w:widowControl/>
              <w:spacing w:before="100" w:beforeAutospacing="1" w:after="100" w:afterAutospacing="1" w:line="240" w:lineRule="auto"/>
              <w:ind w:firstLine="360"/>
              <w:jc w:val="left"/>
              <w:rPr>
                <w:rFonts w:hint="eastAsia" w:ascii="宋体" w:hAnsi="宋体" w:eastAsia="宋体" w:cs="宋体"/>
                <w:color w:val="auto"/>
                <w:kern w:val="0"/>
                <w:sz w:val="18"/>
                <w:szCs w:val="18"/>
              </w:rPr>
            </w:pP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四、计算拟派项目负责人诚信评价得分（C）（权重为10-18%）</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（一）计算拟派项目负责人诚信评价等级为</w:t>
            </w:r>
            <w:r>
              <w:rPr>
                <w:rFonts w:hint="default" w:ascii="宋体" w:hAnsi="宋体" w:eastAsia="宋体" w:cs="宋体"/>
                <w:color w:val="auto"/>
                <w:kern w:val="0"/>
                <w:sz w:val="18"/>
                <w:szCs w:val="18"/>
                <w:lang w:val="en"/>
              </w:rPr>
              <w:t>A</w:t>
            </w:r>
            <w:r>
              <w:rPr>
                <w:rFonts w:hint="eastAsia" w:ascii="宋体" w:hAnsi="宋体" w:eastAsia="宋体" w:cs="宋体"/>
                <w:color w:val="auto"/>
                <w:kern w:val="0"/>
                <w:sz w:val="18"/>
                <w:szCs w:val="18"/>
                <w:lang w:val="en" w:eastAsia="zh-CN"/>
              </w:rPr>
              <w:t>级</w:t>
            </w:r>
            <w:r>
              <w:rPr>
                <w:rFonts w:hint="eastAsia" w:ascii="宋体" w:hAnsi="宋体" w:eastAsia="宋体" w:cs="宋体"/>
                <w:color w:val="auto"/>
                <w:kern w:val="0"/>
                <w:sz w:val="18"/>
                <w:szCs w:val="18"/>
              </w:rPr>
              <w:t>得分（按权重的80%-100%，不含80%）：拟派项目负责人排名最高的得该权重计算得分的最高分，相同评价等级中排名最低的投标人得该权重计算得分的最低分，其他相同企业诚信评价等级的投标人得分按直线内插法计算得分，计算</w:t>
            </w:r>
            <w:r>
              <w:rPr>
                <w:rFonts w:hint="eastAsia" w:ascii="宋体" w:hAnsi="宋体" w:eastAsia="宋体" w:cs="宋体"/>
                <w:b/>
                <w:bCs/>
                <w:color w:val="auto"/>
                <w:kern w:val="0"/>
                <w:sz w:val="18"/>
                <w:szCs w:val="18"/>
              </w:rPr>
              <w:t>C</w:t>
            </w:r>
            <w:r>
              <w:rPr>
                <w:rFonts w:hint="eastAsia" w:ascii="宋体" w:hAnsi="宋体" w:eastAsia="宋体" w:cs="宋体"/>
                <w:color w:val="auto"/>
                <w:kern w:val="0"/>
                <w:sz w:val="18"/>
                <w:szCs w:val="18"/>
              </w:rPr>
              <w:t>1；</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（二）计算拟派项目负责人诚信评价等级为</w:t>
            </w:r>
            <w:r>
              <w:rPr>
                <w:rFonts w:hint="default" w:ascii="宋体" w:hAnsi="宋体" w:eastAsia="宋体" w:cs="宋体"/>
                <w:color w:val="auto"/>
                <w:kern w:val="0"/>
                <w:sz w:val="18"/>
                <w:szCs w:val="18"/>
                <w:lang w:val="en"/>
              </w:rPr>
              <w:t>B</w:t>
            </w:r>
            <w:r>
              <w:rPr>
                <w:rFonts w:hint="eastAsia" w:ascii="宋体" w:hAnsi="宋体" w:eastAsia="宋体" w:cs="宋体"/>
                <w:color w:val="auto"/>
                <w:kern w:val="0"/>
                <w:sz w:val="18"/>
                <w:szCs w:val="18"/>
                <w:lang w:val="en" w:eastAsia="zh-CN"/>
              </w:rPr>
              <w:t>级</w:t>
            </w:r>
            <w:r>
              <w:rPr>
                <w:rFonts w:hint="eastAsia" w:ascii="宋体" w:hAnsi="宋体" w:eastAsia="宋体" w:cs="宋体"/>
                <w:color w:val="auto"/>
                <w:kern w:val="0"/>
                <w:sz w:val="18"/>
                <w:szCs w:val="18"/>
              </w:rPr>
              <w:t>得分（按权重的60%-80%，不含60%）:拟派项目负责人排名最高的得该权重计算得分的最高分，相同评价等级中排名最低的投标人得该权重计算得分的最低分，其他相同企业诚信评价等级的投标人得分按直线内插法计算得分，计算</w:t>
            </w:r>
            <w:r>
              <w:rPr>
                <w:rFonts w:hint="eastAsia" w:ascii="宋体" w:hAnsi="宋体" w:eastAsia="宋体" w:cs="宋体"/>
                <w:b/>
                <w:bCs/>
                <w:color w:val="auto"/>
                <w:kern w:val="0"/>
                <w:sz w:val="18"/>
                <w:szCs w:val="18"/>
              </w:rPr>
              <w:t>C</w:t>
            </w:r>
            <w:r>
              <w:rPr>
                <w:rFonts w:hint="eastAsia" w:ascii="宋体" w:hAnsi="宋体" w:eastAsia="宋体" w:cs="宋体"/>
                <w:color w:val="auto"/>
                <w:kern w:val="0"/>
                <w:sz w:val="18"/>
                <w:szCs w:val="18"/>
              </w:rPr>
              <w:t>2；</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（三）拟派项目负责人诚信评价等级为</w:t>
            </w:r>
            <w:r>
              <w:rPr>
                <w:rFonts w:hint="default" w:ascii="宋体" w:hAnsi="宋体" w:eastAsia="宋体" w:cs="宋体"/>
                <w:color w:val="auto"/>
                <w:kern w:val="0"/>
                <w:sz w:val="18"/>
                <w:szCs w:val="18"/>
                <w:lang w:val="en"/>
              </w:rPr>
              <w:t>C</w:t>
            </w:r>
            <w:r>
              <w:rPr>
                <w:rFonts w:hint="eastAsia" w:ascii="宋体" w:hAnsi="宋体" w:eastAsia="宋体" w:cs="宋体"/>
                <w:color w:val="auto"/>
                <w:kern w:val="0"/>
                <w:sz w:val="18"/>
                <w:szCs w:val="18"/>
                <w:lang w:val="en" w:eastAsia="zh-CN"/>
              </w:rPr>
              <w:t>级</w:t>
            </w:r>
            <w:r>
              <w:rPr>
                <w:rFonts w:hint="eastAsia" w:ascii="宋体" w:hAnsi="宋体" w:eastAsia="宋体" w:cs="宋体"/>
                <w:color w:val="auto"/>
                <w:kern w:val="0"/>
                <w:sz w:val="18"/>
                <w:szCs w:val="18"/>
              </w:rPr>
              <w:t>得分（按权重的40%-60%，</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含40%）:拟派项目负责人排名最高的得该权重计算得分的最高分，相同评价等级中排名最低的投标人得该权重计算得分的最低分，其他相同企业诚信评价等级的投标人得分按直线内插法计算得分，计算</w:t>
            </w:r>
            <w:r>
              <w:rPr>
                <w:rFonts w:hint="eastAsia" w:ascii="宋体" w:hAnsi="宋体" w:eastAsia="宋体" w:cs="宋体"/>
                <w:b/>
                <w:bCs/>
                <w:color w:val="auto"/>
                <w:kern w:val="0"/>
                <w:sz w:val="18"/>
                <w:szCs w:val="18"/>
              </w:rPr>
              <w:t>C3；</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（四）拟派项目负责人诚信评价等级为其他等级的均得0分；</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（五）招标人可根据招标项目的实际情况，要求拟派项目负责人在近3年内获得过国家级奖项或省级奖项或具有类似工程经验的，可适当提高该项得分权重。</w:t>
            </w:r>
          </w:p>
          <w:p>
            <w:pPr>
              <w:widowControl/>
              <w:spacing w:before="100" w:beforeAutospacing="1" w:after="100" w:afterAutospacing="1" w:line="240" w:lineRule="auto"/>
              <w:ind w:firstLine="361"/>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18"/>
                <w:szCs w:val="18"/>
              </w:rPr>
              <w:t>五、投标人总得分=A+B+C</w:t>
            </w:r>
          </w:p>
          <w:p>
            <w:pPr>
              <w:widowControl/>
              <w:spacing w:before="100" w:beforeAutospacing="1" w:after="100" w:afterAutospacing="1" w:line="240" w:lineRule="auto"/>
              <w:ind w:firstLine="360"/>
              <w:jc w:val="left"/>
              <w:rPr>
                <w:rFonts w:hint="eastAsia" w:ascii="微软雅黑" w:hAnsi="微软雅黑" w:eastAsia="微软雅黑" w:cs="宋体"/>
                <w:color w:val="auto"/>
                <w:kern w:val="0"/>
                <w:sz w:val="21"/>
                <w:szCs w:val="21"/>
              </w:rPr>
            </w:pPr>
            <w:r>
              <w:rPr>
                <w:rFonts w:hint="eastAsia" w:ascii="宋体" w:hAnsi="宋体" w:eastAsia="宋体" w:cs="宋体"/>
                <w:color w:val="auto"/>
                <w:kern w:val="0"/>
                <w:sz w:val="18"/>
                <w:szCs w:val="18"/>
              </w:rPr>
              <w:t>注：各项计算、评分结果均按四舍五入方法精确到小数点后2位。</w:t>
            </w:r>
          </w:p>
        </w:tc>
      </w:tr>
    </w:tbl>
    <w:p>
      <w:pPr>
        <w:widowControl/>
        <w:shd w:val="clear" w:color="auto" w:fill="F9F9F9"/>
        <w:spacing w:line="240" w:lineRule="auto"/>
        <w:ind w:firstLine="0" w:firstLineChars="0"/>
        <w:jc w:val="center"/>
        <w:rPr>
          <w:rFonts w:hint="eastAsia" w:ascii="Calibri" w:hAnsi="Calibri" w:eastAsia="微软雅黑" w:cs="Calibri"/>
          <w:color w:val="auto"/>
          <w:kern w:val="0"/>
          <w:sz w:val="21"/>
          <w:szCs w:val="21"/>
        </w:rPr>
      </w:pPr>
    </w:p>
    <w:p>
      <w:pPr>
        <w:ind w:firstLine="480"/>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7B"/>
    <w:rsid w:val="00054F7B"/>
    <w:rsid w:val="001919D9"/>
    <w:rsid w:val="1FFFF1E5"/>
    <w:rsid w:val="3EFA2CF1"/>
    <w:rsid w:val="40F77B40"/>
    <w:rsid w:val="5E24509B"/>
    <w:rsid w:val="6B5FEE0F"/>
    <w:rsid w:val="6FDBFCE6"/>
    <w:rsid w:val="7A7DF696"/>
    <w:rsid w:val="7FF75148"/>
    <w:rsid w:val="CE6FBC45"/>
    <w:rsid w:val="F54CB898"/>
    <w:rsid w:val="F7FB2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3"/>
    <w:basedOn w:val="1"/>
    <w:next w:val="1"/>
    <w:link w:val="8"/>
    <w:unhideWhenUsed/>
    <w:qFormat/>
    <w:uiPriority w:val="9"/>
    <w:pPr>
      <w:keepNext/>
      <w:keepLines/>
      <w:spacing w:before="260" w:after="260" w:line="415" w:lineRule="auto"/>
      <w:ind w:firstLine="0" w:firstLineChars="0"/>
      <w:jc w:val="center"/>
      <w:outlineLvl w:val="2"/>
    </w:pPr>
    <w:rPr>
      <w:rFonts w:eastAsia="黑体"/>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Cs w:val="24"/>
    </w:rPr>
  </w:style>
  <w:style w:type="character" w:customStyle="1" w:styleId="8">
    <w:name w:val="标题 3 字符"/>
    <w:basedOn w:val="7"/>
    <w:link w:val="2"/>
    <w:qFormat/>
    <w:uiPriority w:val="9"/>
    <w:rPr>
      <w:rFonts w:eastAsia="黑体"/>
      <w:b/>
      <w:bCs/>
      <w:sz w:val="24"/>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2008</Words>
  <Characters>11447</Characters>
  <Lines>95</Lines>
  <Paragraphs>26</Paragraphs>
  <TotalTime>3</TotalTime>
  <ScaleCrop>false</ScaleCrop>
  <LinksUpToDate>false</LinksUpToDate>
  <CharactersWithSpaces>13429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2023-04-04T08:56:00Z</dcterms:created>
  <dc:creator>叶睿晟</dc:creator>
  <cp:lastModifiedBy>greatwall</cp:lastModifiedBy>
  <dcterms:modified xsi:type="dcterms:W3CDTF">2023-06-13T15:05:30Z</dcterms:modified>
  <dc:title>关于进一步推进房屋建筑和市政工程招投标制度改革的若干措施（试行）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