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2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_GB2312"/>
          <w:sz w:val="28"/>
          <w:szCs w:val="28"/>
        </w:rPr>
        <w:t>：</w:t>
      </w:r>
    </w:p>
    <w:p>
      <w:pPr>
        <w:spacing w:line="560" w:lineRule="exact"/>
        <w:ind w:right="318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“海</w:t>
      </w:r>
      <w:bookmarkStart w:id="1" w:name="_GoBack"/>
      <w:bookmarkEnd w:id="1"/>
      <w:r>
        <w:rPr>
          <w:rFonts w:hint="eastAsia" w:ascii="黑体" w:hAnsi="黑体" w:eastAsia="黑体" w:cs="仿宋_GB2312"/>
          <w:sz w:val="32"/>
          <w:szCs w:val="32"/>
        </w:rPr>
        <w:t>南省城市综合管理服务平台（一期）”</w:t>
      </w:r>
    </w:p>
    <w:p>
      <w:pPr>
        <w:spacing w:line="560" w:lineRule="exact"/>
        <w:ind w:right="318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政府采购代理机构遴选评分标准</w:t>
      </w:r>
    </w:p>
    <w:tbl>
      <w:tblPr>
        <w:tblStyle w:val="6"/>
        <w:tblW w:w="8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638"/>
        <w:gridCol w:w="2499"/>
        <w:gridCol w:w="2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99" w:type="dxa"/>
            <w:vAlign w:val="top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1638" w:type="dxa"/>
            <w:vAlign w:val="top"/>
          </w:tcPr>
          <w:p>
            <w:pPr>
              <w:ind w:right="320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总分</w:t>
            </w:r>
          </w:p>
        </w:tc>
        <w:tc>
          <w:tcPr>
            <w:tcW w:w="2499" w:type="dxa"/>
            <w:vAlign w:val="top"/>
          </w:tcPr>
          <w:p>
            <w:pPr>
              <w:ind w:right="320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评分内容</w:t>
            </w:r>
          </w:p>
        </w:tc>
        <w:tc>
          <w:tcPr>
            <w:tcW w:w="2499" w:type="dxa"/>
            <w:vAlign w:val="top"/>
          </w:tcPr>
          <w:p>
            <w:pPr>
              <w:ind w:right="320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35" w:type="dxa"/>
            <w:gridSpan w:val="4"/>
            <w:vAlign w:val="top"/>
          </w:tcPr>
          <w:p>
            <w:pPr>
              <w:ind w:right="320"/>
              <w:jc w:val="center"/>
              <w:rPr>
                <w:rFonts w:ascii="黑体" w:hAnsi="黑体" w:eastAsia="黑体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商务部分（满分15分）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企业业绩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10分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1000万元以上政府采购项目业绩，应提供中标通知书复印件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每完成1项得1分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2分</w:t>
            </w:r>
          </w:p>
        </w:tc>
        <w:tc>
          <w:tcPr>
            <w:tcW w:w="249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项目负责人具有行政机关颁发的计算机类中级职称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得1分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vAlign w:val="top"/>
          </w:tcPr>
          <w:p>
            <w:pPr>
              <w:ind w:right="320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vAlign w:val="top"/>
          </w:tcPr>
          <w:p>
            <w:pPr>
              <w:ind w:right="320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项目负责人具有行政机关颁发的计算机类高级或以上职称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得2分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企业实力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3分</w:t>
            </w:r>
          </w:p>
        </w:tc>
        <w:tc>
          <w:tcPr>
            <w:tcW w:w="249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具有ISO质量、环境、职业健康管理体系认证证书且证书均在有效期内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每具备1项得1分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5" w:type="dxa"/>
            <w:gridSpan w:val="4"/>
            <w:vAlign w:val="center"/>
          </w:tcPr>
          <w:p>
            <w:pPr>
              <w:ind w:right="32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技术部分（满分15分）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服务方案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15分</w:t>
            </w:r>
          </w:p>
        </w:tc>
        <w:tc>
          <w:tcPr>
            <w:tcW w:w="249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bookmarkStart w:id="0" w:name="_Hlk56697286"/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对服务方案合理性、重难点分析，服务内容，针对性等综合评比</w:t>
            </w:r>
            <w:bookmarkEnd w:id="0"/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0-5分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综合性企业实力介绍，及以往履约情况及招标情况介绍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0-5分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针对本项目所提出的合理化建议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0-5分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35" w:type="dxa"/>
            <w:gridSpan w:val="4"/>
            <w:vAlign w:val="center"/>
          </w:tcPr>
          <w:p>
            <w:pPr>
              <w:ind w:right="320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1"/>
                <w:szCs w:val="21"/>
              </w:rPr>
              <w:t>报价部分（满分70分）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投标报价下浮超出</w:t>
            </w:r>
            <w:r>
              <w:rPr>
                <w:rFonts w:ascii="仿宋" w:hAnsi="仿宋" w:eastAsia="仿宋" w:cs="仿宋_GB2312"/>
                <w:kern w:val="0"/>
                <w:sz w:val="21"/>
                <w:szCs w:val="21"/>
              </w:rPr>
              <w:t>20%</w:t>
            </w: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范围的为异常报价，应提交说明至评审委员会，由评审委员会评定是否为投标恶意报价，如评定为恶意报价，其投标文件予以废标。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kern w:val="0"/>
                <w:sz w:val="21"/>
                <w:szCs w:val="21"/>
              </w:rPr>
              <w:t>综合评分法中的价格分统一采用低价优先法计算，即满足文件要求且最后报价最低的供应商的价格为基准价，其价格分为满分。</w:t>
            </w: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其它</w:t>
            </w:r>
            <w:r>
              <w:rPr>
                <w:rFonts w:ascii="仿宋" w:hAnsi="仿宋" w:eastAsia="仿宋" w:cs="仿宋_GB2312"/>
                <w:kern w:val="0"/>
                <w:sz w:val="21"/>
                <w:szCs w:val="21"/>
              </w:rPr>
              <w:t>供应商的价格分统一按照下列公式计算：报价得分=（基准价/</w:t>
            </w: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投标</w:t>
            </w:r>
            <w:r>
              <w:rPr>
                <w:rFonts w:ascii="仿宋" w:hAnsi="仿宋" w:eastAsia="仿宋" w:cs="仿宋_GB2312"/>
                <w:kern w:val="0"/>
                <w:sz w:val="21"/>
                <w:szCs w:val="21"/>
              </w:rPr>
              <w:t>报价）×</w:t>
            </w: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7</w:t>
            </w:r>
            <w:r>
              <w:rPr>
                <w:rFonts w:ascii="仿宋" w:hAnsi="仿宋" w:eastAsia="仿宋" w:cs="仿宋_GB2312"/>
                <w:kern w:val="0"/>
                <w:sz w:val="21"/>
                <w:szCs w:val="21"/>
              </w:rPr>
              <w:t>0%×100</w:t>
            </w:r>
          </w:p>
        </w:tc>
      </w:tr>
    </w:tbl>
    <w:p/>
    <w:sectPr>
      <w:pgSz w:w="11906" w:h="16838"/>
      <w:pgMar w:top="1587" w:right="1474" w:bottom="1587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90610"/>
    <w:rsid w:val="000740A7"/>
    <w:rsid w:val="00190610"/>
    <w:rsid w:val="001D3918"/>
    <w:rsid w:val="00221231"/>
    <w:rsid w:val="002E483E"/>
    <w:rsid w:val="00315756"/>
    <w:rsid w:val="00524A4A"/>
    <w:rsid w:val="0054196A"/>
    <w:rsid w:val="00646D5F"/>
    <w:rsid w:val="006F7FE7"/>
    <w:rsid w:val="00762462"/>
    <w:rsid w:val="00781957"/>
    <w:rsid w:val="008103A6"/>
    <w:rsid w:val="00824C78"/>
    <w:rsid w:val="0087222E"/>
    <w:rsid w:val="00AB7C78"/>
    <w:rsid w:val="00AF2754"/>
    <w:rsid w:val="00B51879"/>
    <w:rsid w:val="00D65A8F"/>
    <w:rsid w:val="00D92F17"/>
    <w:rsid w:val="72E14D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/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2020-11-23T02:44:00Z</dcterms:created>
  <dc:creator>蔡和林</dc:creator>
  <cp:lastModifiedBy>wxy</cp:lastModifiedBy>
  <dcterms:modified xsi:type="dcterms:W3CDTF">2020-11-23T07:18:15Z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